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0FE" w:rsidRPr="006E0441" w:rsidRDefault="001F50FE" w:rsidP="001F50FE">
      <w:pPr>
        <w:keepNext/>
        <w:widowControl w:val="0"/>
        <w:autoSpaceDE w:val="0"/>
        <w:autoSpaceDN w:val="0"/>
        <w:adjustRightInd w:val="0"/>
        <w:spacing w:line="240" w:lineRule="auto"/>
        <w:ind w:hanging="567"/>
        <w:rPr>
          <w:rFonts w:ascii="Republika" w:hAnsi="Republika"/>
        </w:rPr>
      </w:pPr>
      <w:r w:rsidRPr="006E0441">
        <w:rPr>
          <w:rFonts w:ascii="Republika" w:hAnsi="Republika"/>
          <w:b/>
          <w:caps/>
          <w:noProof/>
          <w:lang w:eastAsia="sl-SI"/>
        </w:rPr>
        <w:drawing>
          <wp:anchor distT="0" distB="0" distL="114300" distR="114300" simplePos="0" relativeHeight="251659264" behindDoc="1" locked="0" layoutInCell="1" allowOverlap="1" wp14:anchorId="7AEE82DE" wp14:editId="2B1F6F6B">
            <wp:simplePos x="0" y="0"/>
            <wp:positionH relativeFrom="column">
              <wp:posOffset>3343275</wp:posOffset>
            </wp:positionH>
            <wp:positionV relativeFrom="paragraph">
              <wp:posOffset>0</wp:posOffset>
            </wp:positionV>
            <wp:extent cx="2787015" cy="1348105"/>
            <wp:effectExtent l="0" t="0" r="0" b="4445"/>
            <wp:wrapThrough wrapText="bothSides">
              <wp:wrapPolygon edited="0">
                <wp:start x="0" y="0"/>
                <wp:lineTo x="0" y="21366"/>
                <wp:lineTo x="21408" y="21366"/>
                <wp:lineTo x="21408" y="0"/>
                <wp:lineTo x="0" y="0"/>
              </wp:wrapPolygon>
            </wp:wrapThrough>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87015" cy="1348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0441">
        <w:rPr>
          <w:rFonts w:ascii="Republika" w:hAnsi="Republika"/>
          <w:noProof/>
          <w:sz w:val="60"/>
          <w:szCs w:val="60"/>
          <w:lang w:eastAsia="sl-SI"/>
        </w:rPr>
        <w:drawing>
          <wp:anchor distT="0" distB="0" distL="114300" distR="114300" simplePos="0" relativeHeight="251660288" behindDoc="0" locked="0" layoutInCell="1" allowOverlap="1" wp14:anchorId="70021D95" wp14:editId="1C35C26F">
            <wp:simplePos x="0" y="0"/>
            <wp:positionH relativeFrom="column">
              <wp:posOffset>-356870</wp:posOffset>
            </wp:positionH>
            <wp:positionV relativeFrom="paragraph">
              <wp:posOffset>-4445</wp:posOffset>
            </wp:positionV>
            <wp:extent cx="295200" cy="342000"/>
            <wp:effectExtent l="0" t="0" r="0" b="1270"/>
            <wp:wrapNone/>
            <wp:docPr id="4" name="Slika 4" descr="Opis: Opis: Opis: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Opis: Opis: Opis: 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00" cy="34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0441">
        <w:rPr>
          <w:rFonts w:ascii="Republika" w:hAnsi="Republika"/>
        </w:rPr>
        <w:tab/>
        <w:t>REPUBLIKA SLOVENIJA</w:t>
      </w:r>
    </w:p>
    <w:p w:rsidR="001F50FE" w:rsidRPr="006E0441" w:rsidRDefault="001F50FE" w:rsidP="001F50FE">
      <w:pPr>
        <w:pStyle w:val="Glava"/>
        <w:tabs>
          <w:tab w:val="left" w:pos="5112"/>
        </w:tabs>
        <w:spacing w:line="240" w:lineRule="exact"/>
        <w:rPr>
          <w:rFonts w:ascii="Republika" w:hAnsi="Republika"/>
          <w:b/>
          <w:caps/>
        </w:rPr>
      </w:pPr>
      <w:r w:rsidRPr="006E0441">
        <w:rPr>
          <w:rFonts w:ascii="Republika" w:hAnsi="Republika"/>
          <w:b/>
          <w:caps/>
        </w:rPr>
        <w:t>Služba vlade republike slovenije za razvoj in evropsko kohezijsko politiko</w:t>
      </w:r>
    </w:p>
    <w:p w:rsidR="001F50FE" w:rsidRPr="006E0441" w:rsidRDefault="001F50FE" w:rsidP="001F50FE">
      <w:pPr>
        <w:pStyle w:val="Glava"/>
        <w:tabs>
          <w:tab w:val="left" w:pos="5112"/>
        </w:tabs>
        <w:spacing w:line="240" w:lineRule="exact"/>
        <w:rPr>
          <w:rFonts w:ascii="Republika" w:hAnsi="Republika" w:cs="Arial"/>
          <w:b/>
          <w:szCs w:val="20"/>
        </w:rPr>
      </w:pPr>
      <w:r w:rsidRPr="006E0441">
        <w:rPr>
          <w:rFonts w:ascii="Republika" w:hAnsi="Republika" w:cs="Arial"/>
          <w:b/>
          <w:szCs w:val="20"/>
        </w:rPr>
        <w:t xml:space="preserve">ORGAN UPRAVLJANJA </w:t>
      </w:r>
    </w:p>
    <w:p w:rsidR="001F50FE" w:rsidRPr="006E0441" w:rsidRDefault="001F50FE" w:rsidP="001F50FE">
      <w:pPr>
        <w:pStyle w:val="Glava"/>
        <w:tabs>
          <w:tab w:val="left" w:pos="5112"/>
        </w:tabs>
        <w:spacing w:line="240" w:lineRule="exact"/>
        <w:rPr>
          <w:rFonts w:cs="Arial"/>
          <w:sz w:val="16"/>
        </w:rPr>
      </w:pPr>
    </w:p>
    <w:p w:rsidR="006B31C1" w:rsidRPr="006E0441" w:rsidRDefault="006B31C1" w:rsidP="006B31C1">
      <w:pPr>
        <w:jc w:val="center"/>
        <w:rPr>
          <w:b/>
          <w:sz w:val="32"/>
        </w:rPr>
      </w:pPr>
    </w:p>
    <w:p w:rsidR="006B31C1" w:rsidRPr="006E0441" w:rsidRDefault="006B31C1" w:rsidP="006B31C1">
      <w:pPr>
        <w:jc w:val="center"/>
        <w:rPr>
          <w:b/>
          <w:sz w:val="32"/>
        </w:rPr>
      </w:pPr>
    </w:p>
    <w:p w:rsidR="006B31C1" w:rsidRPr="006E0441" w:rsidRDefault="006B31C1" w:rsidP="006B31C1">
      <w:pPr>
        <w:jc w:val="center"/>
        <w:rPr>
          <w:b/>
          <w:sz w:val="32"/>
        </w:rPr>
      </w:pPr>
    </w:p>
    <w:p w:rsidR="006B31C1" w:rsidRPr="006E0441" w:rsidRDefault="006B31C1" w:rsidP="006B31C1">
      <w:pPr>
        <w:jc w:val="center"/>
        <w:rPr>
          <w:b/>
          <w:sz w:val="32"/>
        </w:rPr>
      </w:pPr>
    </w:p>
    <w:p w:rsidR="006B31C1" w:rsidRPr="006E0441" w:rsidRDefault="006B31C1" w:rsidP="006B31C1">
      <w:pPr>
        <w:jc w:val="center"/>
        <w:rPr>
          <w:b/>
          <w:sz w:val="32"/>
        </w:rPr>
      </w:pPr>
    </w:p>
    <w:p w:rsidR="006B31C1" w:rsidRPr="006E0441" w:rsidRDefault="006B31C1" w:rsidP="008D3EA4">
      <w:pPr>
        <w:rPr>
          <w:b/>
          <w:sz w:val="32"/>
        </w:rPr>
      </w:pPr>
    </w:p>
    <w:p w:rsidR="006B31C1" w:rsidRPr="006E0441" w:rsidRDefault="006B31C1" w:rsidP="006B31C1">
      <w:pPr>
        <w:jc w:val="center"/>
        <w:rPr>
          <w:b/>
          <w:sz w:val="32"/>
        </w:rPr>
      </w:pPr>
    </w:p>
    <w:p w:rsidR="00A123D2" w:rsidRPr="006E0441" w:rsidRDefault="00A123D2" w:rsidP="006B31C1">
      <w:pPr>
        <w:jc w:val="center"/>
        <w:rPr>
          <w:b/>
          <w:sz w:val="32"/>
        </w:rPr>
      </w:pPr>
    </w:p>
    <w:p w:rsidR="00A123D2" w:rsidRPr="006E0441" w:rsidRDefault="00A123D2" w:rsidP="006B31C1">
      <w:pPr>
        <w:jc w:val="center"/>
        <w:rPr>
          <w:b/>
          <w:sz w:val="32"/>
        </w:rPr>
      </w:pPr>
    </w:p>
    <w:p w:rsidR="006B31C1" w:rsidRPr="006E0441" w:rsidRDefault="006B31C1" w:rsidP="006B31C1">
      <w:pPr>
        <w:jc w:val="center"/>
        <w:rPr>
          <w:b/>
          <w:sz w:val="32"/>
        </w:rPr>
      </w:pPr>
    </w:p>
    <w:p w:rsidR="00CE6AD7" w:rsidRPr="006E0441" w:rsidRDefault="00026052" w:rsidP="006B31C1">
      <w:pPr>
        <w:jc w:val="center"/>
        <w:rPr>
          <w:b/>
          <w:sz w:val="32"/>
        </w:rPr>
      </w:pPr>
      <w:r>
        <w:rPr>
          <w:b/>
          <w:sz w:val="32"/>
        </w:rPr>
        <w:t xml:space="preserve">IZHODIŠČA ZA </w:t>
      </w:r>
      <w:r w:rsidR="00D71C40" w:rsidRPr="006E0441">
        <w:rPr>
          <w:b/>
          <w:sz w:val="32"/>
        </w:rPr>
        <w:t>SPREMEMB</w:t>
      </w:r>
      <w:r>
        <w:rPr>
          <w:b/>
          <w:sz w:val="32"/>
        </w:rPr>
        <w:t>O</w:t>
      </w:r>
      <w:r w:rsidR="006B31C1" w:rsidRPr="006E0441">
        <w:rPr>
          <w:b/>
          <w:sz w:val="32"/>
        </w:rPr>
        <w:t xml:space="preserve"> OPERATIVNEGA PROGRAMA </w:t>
      </w:r>
      <w:r w:rsidR="00CE6AD7" w:rsidRPr="006E0441">
        <w:rPr>
          <w:b/>
          <w:sz w:val="32"/>
        </w:rPr>
        <w:t xml:space="preserve">ZA IZVAJANJE KOHEZIJSKE POLITIKE V PROGRAMSKEM OBDOBJU </w:t>
      </w:r>
      <w:r w:rsidR="006B31C1" w:rsidRPr="006E0441">
        <w:rPr>
          <w:b/>
          <w:sz w:val="32"/>
        </w:rPr>
        <w:t>2014-2020</w:t>
      </w:r>
      <w:r w:rsidR="005B4EB3" w:rsidRPr="006E0441">
        <w:rPr>
          <w:b/>
          <w:sz w:val="32"/>
        </w:rPr>
        <w:t xml:space="preserve"> </w:t>
      </w:r>
      <w:r w:rsidR="00CE6AD7" w:rsidRPr="006E0441">
        <w:rPr>
          <w:b/>
          <w:sz w:val="32"/>
        </w:rPr>
        <w:t>IN VKLJUČITEV UKREPOV POBUDE REACT-EU</w:t>
      </w:r>
    </w:p>
    <w:p w:rsidR="00CE6AD7" w:rsidRPr="006E0441" w:rsidRDefault="00CE6AD7" w:rsidP="006B31C1">
      <w:pPr>
        <w:jc w:val="center"/>
        <w:rPr>
          <w:b/>
          <w:sz w:val="32"/>
        </w:rPr>
      </w:pPr>
    </w:p>
    <w:p w:rsidR="006B31C1" w:rsidRPr="006E0441" w:rsidRDefault="00CE6AD7" w:rsidP="006B31C1">
      <w:pPr>
        <w:jc w:val="center"/>
        <w:rPr>
          <w:b/>
          <w:sz w:val="32"/>
        </w:rPr>
      </w:pPr>
      <w:r w:rsidRPr="006E0441">
        <w:rPr>
          <w:b/>
          <w:sz w:val="32"/>
        </w:rPr>
        <w:t xml:space="preserve">Različica spremembe Operativnega programa: </w:t>
      </w:r>
      <w:r w:rsidR="005B4EB3" w:rsidRPr="006E0441">
        <w:rPr>
          <w:b/>
          <w:sz w:val="32"/>
        </w:rPr>
        <w:t>6.0</w:t>
      </w:r>
    </w:p>
    <w:p w:rsidR="006B31C1" w:rsidRPr="006E0441" w:rsidRDefault="006B31C1" w:rsidP="006B31C1">
      <w:pPr>
        <w:jc w:val="center"/>
        <w:rPr>
          <w:b/>
          <w:sz w:val="32"/>
        </w:rPr>
      </w:pPr>
    </w:p>
    <w:p w:rsidR="006B31C1" w:rsidRPr="006E0441" w:rsidRDefault="006B31C1" w:rsidP="006B31C1">
      <w:pPr>
        <w:jc w:val="center"/>
        <w:rPr>
          <w:b/>
          <w:sz w:val="32"/>
        </w:rPr>
      </w:pPr>
    </w:p>
    <w:p w:rsidR="006B31C1" w:rsidRPr="006E0441" w:rsidRDefault="006B31C1" w:rsidP="006B31C1">
      <w:pPr>
        <w:jc w:val="center"/>
        <w:rPr>
          <w:b/>
          <w:sz w:val="32"/>
        </w:rPr>
      </w:pPr>
    </w:p>
    <w:p w:rsidR="006B31C1" w:rsidRPr="006E0441" w:rsidRDefault="006B31C1" w:rsidP="006B31C1">
      <w:pPr>
        <w:jc w:val="center"/>
        <w:rPr>
          <w:b/>
          <w:sz w:val="32"/>
        </w:rPr>
      </w:pPr>
    </w:p>
    <w:p w:rsidR="006B31C1" w:rsidRPr="006E0441" w:rsidRDefault="006B31C1" w:rsidP="006B31C1">
      <w:pPr>
        <w:jc w:val="center"/>
        <w:rPr>
          <w:b/>
          <w:sz w:val="32"/>
        </w:rPr>
      </w:pPr>
    </w:p>
    <w:p w:rsidR="006B31C1" w:rsidRPr="006E0441" w:rsidRDefault="006B31C1" w:rsidP="006B31C1">
      <w:pPr>
        <w:jc w:val="center"/>
        <w:rPr>
          <w:b/>
          <w:sz w:val="32"/>
        </w:rPr>
      </w:pPr>
    </w:p>
    <w:p w:rsidR="008D3EA4" w:rsidRPr="006E0441" w:rsidRDefault="008D3EA4">
      <w:pPr>
        <w:rPr>
          <w:b/>
          <w:sz w:val="32"/>
        </w:rPr>
      </w:pPr>
      <w:r w:rsidRPr="006E0441">
        <w:rPr>
          <w:b/>
          <w:sz w:val="32"/>
        </w:rPr>
        <w:br w:type="page"/>
      </w:r>
    </w:p>
    <w:sdt>
      <w:sdtPr>
        <w:id w:val="-488627712"/>
        <w:docPartObj>
          <w:docPartGallery w:val="Table of Contents"/>
          <w:docPartUnique/>
        </w:docPartObj>
      </w:sdtPr>
      <w:sdtEndPr>
        <w:rPr>
          <w:b/>
          <w:bCs/>
        </w:rPr>
      </w:sdtEndPr>
      <w:sdtContent>
        <w:p w:rsidR="006B31C1" w:rsidRPr="006E0441" w:rsidRDefault="006B31C1" w:rsidP="006B31C1">
          <w:pPr>
            <w:keepNext/>
            <w:keepLines/>
            <w:spacing w:before="400" w:after="40" w:line="240" w:lineRule="auto"/>
            <w:rPr>
              <w:rFonts w:asciiTheme="majorHAnsi" w:eastAsiaTheme="majorEastAsia" w:hAnsiTheme="majorHAnsi" w:cstheme="majorBidi"/>
              <w:caps/>
              <w:sz w:val="36"/>
              <w:szCs w:val="36"/>
            </w:rPr>
          </w:pPr>
          <w:r w:rsidRPr="006E0441">
            <w:rPr>
              <w:rFonts w:asciiTheme="majorHAnsi" w:eastAsiaTheme="majorEastAsia" w:hAnsiTheme="majorHAnsi" w:cstheme="majorBidi"/>
              <w:caps/>
              <w:sz w:val="36"/>
              <w:szCs w:val="36"/>
            </w:rPr>
            <w:t>Kazalo vsebine</w:t>
          </w:r>
        </w:p>
        <w:p w:rsidR="0061262E" w:rsidRPr="006E0441" w:rsidRDefault="0061262E" w:rsidP="006B31C1">
          <w:pPr>
            <w:keepNext/>
            <w:keepLines/>
            <w:spacing w:before="400" w:after="40" w:line="240" w:lineRule="auto"/>
            <w:rPr>
              <w:rFonts w:asciiTheme="majorHAnsi" w:eastAsiaTheme="majorEastAsia" w:hAnsiTheme="majorHAnsi" w:cstheme="majorBidi"/>
              <w:caps/>
              <w:sz w:val="36"/>
              <w:szCs w:val="36"/>
            </w:rPr>
          </w:pPr>
        </w:p>
        <w:p w:rsidR="00AF31B9" w:rsidRPr="006E0441" w:rsidRDefault="00AF31B9" w:rsidP="006B31C1">
          <w:pPr>
            <w:keepNext/>
            <w:keepLines/>
            <w:spacing w:before="400" w:after="40" w:line="240" w:lineRule="auto"/>
            <w:rPr>
              <w:rFonts w:asciiTheme="majorHAnsi" w:eastAsiaTheme="majorEastAsia" w:hAnsiTheme="majorHAnsi" w:cstheme="majorBidi"/>
              <w:caps/>
              <w:sz w:val="36"/>
              <w:szCs w:val="36"/>
            </w:rPr>
          </w:pPr>
        </w:p>
        <w:p w:rsidR="00AD40F8" w:rsidRPr="006E0441" w:rsidRDefault="006B31C1">
          <w:pPr>
            <w:pStyle w:val="Kazalovsebine1"/>
            <w:tabs>
              <w:tab w:val="left" w:pos="440"/>
              <w:tab w:val="right" w:leader="dot" w:pos="9062"/>
            </w:tabs>
            <w:rPr>
              <w:rFonts w:cstheme="minorBidi"/>
              <w:noProof/>
            </w:rPr>
          </w:pPr>
          <w:r w:rsidRPr="006E0441">
            <w:fldChar w:fldCharType="begin"/>
          </w:r>
          <w:r w:rsidRPr="006E0441">
            <w:instrText xml:space="preserve"> TOC \o "1-3" \h \z \u </w:instrText>
          </w:r>
          <w:r w:rsidRPr="006E0441">
            <w:fldChar w:fldCharType="separate"/>
          </w:r>
          <w:hyperlink w:anchor="_Toc50273543" w:history="1">
            <w:r w:rsidR="00AD40F8" w:rsidRPr="006E0441">
              <w:rPr>
                <w:rStyle w:val="Hiperpovezava"/>
                <w:noProof/>
              </w:rPr>
              <w:t>1.</w:t>
            </w:r>
            <w:r w:rsidR="00AD40F8" w:rsidRPr="006E0441">
              <w:rPr>
                <w:rFonts w:cstheme="minorBidi"/>
                <w:noProof/>
              </w:rPr>
              <w:tab/>
            </w:r>
            <w:r w:rsidR="00AD40F8" w:rsidRPr="006E0441">
              <w:rPr>
                <w:rStyle w:val="Hiperpovezava"/>
                <w:noProof/>
              </w:rPr>
              <w:t>Uvod</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_Toc50273543 \h </w:instrText>
            </w:r>
            <w:r w:rsidR="00AD40F8" w:rsidRPr="006E0441">
              <w:rPr>
                <w:noProof/>
                <w:webHidden/>
              </w:rPr>
            </w:r>
            <w:r w:rsidR="00AD40F8" w:rsidRPr="006E0441">
              <w:rPr>
                <w:noProof/>
                <w:webHidden/>
              </w:rPr>
              <w:fldChar w:fldCharType="separate"/>
            </w:r>
            <w:r w:rsidR="00935504">
              <w:rPr>
                <w:noProof/>
                <w:webHidden/>
              </w:rPr>
              <w:t>3</w:t>
            </w:r>
            <w:r w:rsidR="00AD40F8" w:rsidRPr="006E0441">
              <w:rPr>
                <w:noProof/>
                <w:webHidden/>
              </w:rPr>
              <w:fldChar w:fldCharType="end"/>
            </w:r>
          </w:hyperlink>
        </w:p>
        <w:p w:rsidR="00AD40F8" w:rsidRPr="006E0441" w:rsidRDefault="00935504">
          <w:pPr>
            <w:pStyle w:val="Kazalovsebine2"/>
            <w:tabs>
              <w:tab w:val="right" w:leader="dot" w:pos="9062"/>
            </w:tabs>
            <w:rPr>
              <w:rFonts w:cstheme="minorBidi"/>
              <w:noProof/>
            </w:rPr>
          </w:pPr>
          <w:hyperlink w:anchor="_Toc50273544" w:history="1">
            <w:r w:rsidR="00AD40F8" w:rsidRPr="006E0441">
              <w:rPr>
                <w:rStyle w:val="Hiperpovezava"/>
                <w:noProof/>
              </w:rPr>
              <w:t>1.1 Vpliv epidemije</w:t>
            </w:r>
            <w:r w:rsidR="00272D2A" w:rsidRPr="006E0441">
              <w:rPr>
                <w:rStyle w:val="Hiperpovezava"/>
                <w:noProof/>
              </w:rPr>
              <w:t xml:space="preserve"> COVID </w:t>
            </w:r>
            <w:r w:rsidR="00AD40F8" w:rsidRPr="006E0441">
              <w:rPr>
                <w:rStyle w:val="Hiperpovezava"/>
                <w:noProof/>
              </w:rPr>
              <w:t>19 v Republiki Sloveniji</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_Toc50273544 \h </w:instrText>
            </w:r>
            <w:r w:rsidR="00AD40F8" w:rsidRPr="006E0441">
              <w:rPr>
                <w:noProof/>
                <w:webHidden/>
              </w:rPr>
            </w:r>
            <w:r w:rsidR="00AD40F8" w:rsidRPr="006E0441">
              <w:rPr>
                <w:noProof/>
                <w:webHidden/>
              </w:rPr>
              <w:fldChar w:fldCharType="separate"/>
            </w:r>
            <w:r>
              <w:rPr>
                <w:noProof/>
                <w:webHidden/>
              </w:rPr>
              <w:t>5</w:t>
            </w:r>
            <w:r w:rsidR="00AD40F8" w:rsidRPr="006E0441">
              <w:rPr>
                <w:noProof/>
                <w:webHidden/>
              </w:rPr>
              <w:fldChar w:fldCharType="end"/>
            </w:r>
          </w:hyperlink>
        </w:p>
        <w:p w:rsidR="00AD40F8" w:rsidRPr="006E0441" w:rsidRDefault="00935504">
          <w:pPr>
            <w:pStyle w:val="Kazalovsebine2"/>
            <w:tabs>
              <w:tab w:val="right" w:leader="dot" w:pos="9062"/>
            </w:tabs>
            <w:rPr>
              <w:rFonts w:cstheme="minorBidi"/>
              <w:noProof/>
            </w:rPr>
          </w:pPr>
          <w:hyperlink w:anchor="_Toc50273545" w:history="1">
            <w:r w:rsidR="00AD40F8" w:rsidRPr="006E0441">
              <w:rPr>
                <w:rStyle w:val="Hiperpovezava"/>
                <w:noProof/>
              </w:rPr>
              <w:t xml:space="preserve">1.2 Izvedeni ukrepi za omilitev posledic </w:t>
            </w:r>
            <w:r w:rsidR="00272D2A" w:rsidRPr="006E0441">
              <w:rPr>
                <w:rStyle w:val="Hiperpovezava"/>
                <w:noProof/>
              </w:rPr>
              <w:t>COVID</w:t>
            </w:r>
            <w:r w:rsidR="00AD40F8" w:rsidRPr="006E0441">
              <w:rPr>
                <w:rStyle w:val="Hiperpovezava"/>
                <w:noProof/>
              </w:rPr>
              <w:t>-19 v okviru OP 14-20</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_Toc50273545 \h </w:instrText>
            </w:r>
            <w:r w:rsidR="00AD40F8" w:rsidRPr="006E0441">
              <w:rPr>
                <w:noProof/>
                <w:webHidden/>
              </w:rPr>
            </w:r>
            <w:r w:rsidR="00AD40F8" w:rsidRPr="006E0441">
              <w:rPr>
                <w:noProof/>
                <w:webHidden/>
              </w:rPr>
              <w:fldChar w:fldCharType="separate"/>
            </w:r>
            <w:r>
              <w:rPr>
                <w:noProof/>
                <w:webHidden/>
              </w:rPr>
              <w:t>7</w:t>
            </w:r>
            <w:r w:rsidR="00AD40F8" w:rsidRPr="006E0441">
              <w:rPr>
                <w:noProof/>
                <w:webHidden/>
              </w:rPr>
              <w:fldChar w:fldCharType="end"/>
            </w:r>
          </w:hyperlink>
        </w:p>
        <w:p w:rsidR="00AD40F8" w:rsidRPr="006E0441" w:rsidRDefault="00935504">
          <w:pPr>
            <w:pStyle w:val="Kazalovsebine2"/>
            <w:tabs>
              <w:tab w:val="right" w:leader="dot" w:pos="9062"/>
            </w:tabs>
            <w:rPr>
              <w:rFonts w:cstheme="minorBidi"/>
              <w:noProof/>
            </w:rPr>
          </w:pPr>
          <w:hyperlink w:anchor="_Toc50273546" w:history="1">
            <w:r w:rsidR="00AD40F8" w:rsidRPr="006E0441">
              <w:rPr>
                <w:rStyle w:val="Hiperpovezava"/>
                <w:noProof/>
              </w:rPr>
              <w:t>1.3 Stanje izvajanja OP 14-20 na dan 31. 8. 2020</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_Toc50273546 \h </w:instrText>
            </w:r>
            <w:r w:rsidR="00AD40F8" w:rsidRPr="006E0441">
              <w:rPr>
                <w:noProof/>
                <w:webHidden/>
              </w:rPr>
            </w:r>
            <w:r w:rsidR="00AD40F8" w:rsidRPr="006E0441">
              <w:rPr>
                <w:noProof/>
                <w:webHidden/>
              </w:rPr>
              <w:fldChar w:fldCharType="separate"/>
            </w:r>
            <w:r>
              <w:rPr>
                <w:noProof/>
                <w:webHidden/>
              </w:rPr>
              <w:t>7</w:t>
            </w:r>
            <w:r w:rsidR="00AD40F8" w:rsidRPr="006E0441">
              <w:rPr>
                <w:noProof/>
                <w:webHidden/>
              </w:rPr>
              <w:fldChar w:fldCharType="end"/>
            </w:r>
          </w:hyperlink>
        </w:p>
        <w:p w:rsidR="00AD40F8" w:rsidRPr="006E0441" w:rsidRDefault="00935504">
          <w:pPr>
            <w:pStyle w:val="Kazalovsebine1"/>
            <w:tabs>
              <w:tab w:val="left" w:pos="440"/>
              <w:tab w:val="right" w:leader="dot" w:pos="9062"/>
            </w:tabs>
            <w:rPr>
              <w:rFonts w:cstheme="minorBidi"/>
              <w:noProof/>
            </w:rPr>
          </w:pPr>
          <w:hyperlink w:anchor="_Toc50273547" w:history="1">
            <w:r w:rsidR="00AD40F8" w:rsidRPr="006E0441">
              <w:rPr>
                <w:rStyle w:val="Hiperpovezava"/>
                <w:noProof/>
              </w:rPr>
              <w:t>2.</w:t>
            </w:r>
            <w:r w:rsidR="00AD40F8" w:rsidRPr="006E0441">
              <w:rPr>
                <w:rFonts w:cstheme="minorBidi"/>
                <w:noProof/>
              </w:rPr>
              <w:tab/>
            </w:r>
            <w:r w:rsidR="00AD40F8" w:rsidRPr="006E0441">
              <w:rPr>
                <w:rStyle w:val="Hiperpovezava"/>
                <w:noProof/>
              </w:rPr>
              <w:t>React-EU</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_Toc50273547 \h </w:instrText>
            </w:r>
            <w:r w:rsidR="00AD40F8" w:rsidRPr="006E0441">
              <w:rPr>
                <w:noProof/>
                <w:webHidden/>
              </w:rPr>
            </w:r>
            <w:r w:rsidR="00AD40F8" w:rsidRPr="006E0441">
              <w:rPr>
                <w:noProof/>
                <w:webHidden/>
              </w:rPr>
              <w:fldChar w:fldCharType="separate"/>
            </w:r>
            <w:r>
              <w:rPr>
                <w:noProof/>
                <w:webHidden/>
              </w:rPr>
              <w:t>11</w:t>
            </w:r>
            <w:r w:rsidR="00AD40F8" w:rsidRPr="006E0441">
              <w:rPr>
                <w:noProof/>
                <w:webHidden/>
              </w:rPr>
              <w:fldChar w:fldCharType="end"/>
            </w:r>
          </w:hyperlink>
        </w:p>
        <w:p w:rsidR="00AD40F8" w:rsidRPr="006E0441" w:rsidRDefault="00935504">
          <w:pPr>
            <w:pStyle w:val="Kazalovsebine2"/>
            <w:tabs>
              <w:tab w:val="left" w:pos="880"/>
              <w:tab w:val="right" w:leader="dot" w:pos="9062"/>
            </w:tabs>
            <w:rPr>
              <w:rFonts w:cstheme="minorBidi"/>
              <w:noProof/>
            </w:rPr>
          </w:pPr>
          <w:hyperlink w:anchor="_Toc50273548" w:history="1">
            <w:r w:rsidR="00AD40F8" w:rsidRPr="006E0441">
              <w:rPr>
                <w:rStyle w:val="Hiperpovezava"/>
                <w:noProof/>
              </w:rPr>
              <w:t>2.1</w:t>
            </w:r>
            <w:r w:rsidR="00AD40F8" w:rsidRPr="006E0441">
              <w:rPr>
                <w:rFonts w:cstheme="minorBidi"/>
                <w:noProof/>
              </w:rPr>
              <w:tab/>
            </w:r>
            <w:r w:rsidR="00AD40F8" w:rsidRPr="006E0441">
              <w:rPr>
                <w:rStyle w:val="Hiperpovezava"/>
                <w:noProof/>
              </w:rPr>
              <w:t>Vsebinske podlage za koriščenje sredstev</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_Toc50273548 \h </w:instrText>
            </w:r>
            <w:r w:rsidR="00AD40F8" w:rsidRPr="006E0441">
              <w:rPr>
                <w:noProof/>
                <w:webHidden/>
              </w:rPr>
            </w:r>
            <w:r w:rsidR="00AD40F8" w:rsidRPr="006E0441">
              <w:rPr>
                <w:noProof/>
                <w:webHidden/>
              </w:rPr>
              <w:fldChar w:fldCharType="separate"/>
            </w:r>
            <w:r>
              <w:rPr>
                <w:noProof/>
                <w:webHidden/>
              </w:rPr>
              <w:t>11</w:t>
            </w:r>
            <w:r w:rsidR="00AD40F8" w:rsidRPr="006E0441">
              <w:rPr>
                <w:noProof/>
                <w:webHidden/>
              </w:rPr>
              <w:fldChar w:fldCharType="end"/>
            </w:r>
          </w:hyperlink>
        </w:p>
        <w:p w:rsidR="00AD40F8" w:rsidRPr="006E0441" w:rsidRDefault="00935504">
          <w:pPr>
            <w:pStyle w:val="Kazalovsebine2"/>
            <w:tabs>
              <w:tab w:val="left" w:pos="880"/>
              <w:tab w:val="right" w:leader="dot" w:pos="9062"/>
            </w:tabs>
            <w:rPr>
              <w:rFonts w:cstheme="minorBidi"/>
              <w:noProof/>
            </w:rPr>
          </w:pPr>
          <w:hyperlink w:anchor="_Toc50273549" w:history="1">
            <w:r w:rsidR="00AD40F8" w:rsidRPr="006E0441">
              <w:rPr>
                <w:rStyle w:val="Hiperpovezava"/>
                <w:noProof/>
              </w:rPr>
              <w:t>2.2</w:t>
            </w:r>
            <w:r w:rsidR="00AD40F8" w:rsidRPr="006E0441">
              <w:rPr>
                <w:rFonts w:cstheme="minorBidi"/>
                <w:noProof/>
              </w:rPr>
              <w:tab/>
            </w:r>
            <w:r w:rsidR="00272D2A" w:rsidRPr="006E0441">
              <w:rPr>
                <w:rStyle w:val="Hiperpovezava"/>
                <w:noProof/>
              </w:rPr>
              <w:t xml:space="preserve">Ukrepi </w:t>
            </w:r>
            <w:r w:rsidR="00AD40F8" w:rsidRPr="006E0441">
              <w:rPr>
                <w:rStyle w:val="Hiperpovezava"/>
                <w:noProof/>
              </w:rPr>
              <w:t xml:space="preserve"> React-EU</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_Toc50273549 \h </w:instrText>
            </w:r>
            <w:r w:rsidR="00AD40F8" w:rsidRPr="006E0441">
              <w:rPr>
                <w:noProof/>
                <w:webHidden/>
              </w:rPr>
            </w:r>
            <w:r w:rsidR="00AD40F8" w:rsidRPr="006E0441">
              <w:rPr>
                <w:noProof/>
                <w:webHidden/>
              </w:rPr>
              <w:fldChar w:fldCharType="separate"/>
            </w:r>
            <w:r>
              <w:rPr>
                <w:noProof/>
                <w:webHidden/>
              </w:rPr>
              <w:t>12</w:t>
            </w:r>
            <w:r w:rsidR="00AD40F8" w:rsidRPr="006E0441">
              <w:rPr>
                <w:noProof/>
                <w:webHidden/>
              </w:rPr>
              <w:fldChar w:fldCharType="end"/>
            </w:r>
          </w:hyperlink>
        </w:p>
        <w:p w:rsidR="00AD40F8" w:rsidRPr="006E0441" w:rsidRDefault="00935504">
          <w:pPr>
            <w:pStyle w:val="Kazalovsebine1"/>
            <w:tabs>
              <w:tab w:val="left" w:pos="440"/>
              <w:tab w:val="right" w:leader="dot" w:pos="9062"/>
            </w:tabs>
            <w:rPr>
              <w:rFonts w:cstheme="minorBidi"/>
              <w:noProof/>
            </w:rPr>
          </w:pPr>
          <w:hyperlink w:anchor="_Toc50273550" w:history="1">
            <w:r w:rsidR="00AD40F8" w:rsidRPr="006E0441">
              <w:rPr>
                <w:rStyle w:val="Hiperpovezava"/>
                <w:noProof/>
              </w:rPr>
              <w:t>3.</w:t>
            </w:r>
            <w:r w:rsidR="00AD40F8" w:rsidRPr="006E0441">
              <w:rPr>
                <w:rFonts w:cstheme="minorBidi"/>
                <w:noProof/>
              </w:rPr>
              <w:tab/>
            </w:r>
            <w:r w:rsidR="00AD40F8" w:rsidRPr="006E0441">
              <w:rPr>
                <w:rStyle w:val="Hiperpovezava"/>
                <w:noProof/>
              </w:rPr>
              <w:t>Sprememba OP 14-20</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_Toc50273550 \h </w:instrText>
            </w:r>
            <w:r w:rsidR="00AD40F8" w:rsidRPr="006E0441">
              <w:rPr>
                <w:noProof/>
                <w:webHidden/>
              </w:rPr>
            </w:r>
            <w:r w:rsidR="00AD40F8" w:rsidRPr="006E0441">
              <w:rPr>
                <w:noProof/>
                <w:webHidden/>
              </w:rPr>
              <w:fldChar w:fldCharType="separate"/>
            </w:r>
            <w:r>
              <w:rPr>
                <w:noProof/>
                <w:webHidden/>
              </w:rPr>
              <w:t>16</w:t>
            </w:r>
            <w:r w:rsidR="00AD40F8" w:rsidRPr="006E0441">
              <w:rPr>
                <w:noProof/>
                <w:webHidden/>
              </w:rPr>
              <w:fldChar w:fldCharType="end"/>
            </w:r>
          </w:hyperlink>
        </w:p>
        <w:p w:rsidR="00AD40F8" w:rsidRPr="006E0441" w:rsidRDefault="00935504">
          <w:pPr>
            <w:pStyle w:val="Kazalovsebine2"/>
            <w:tabs>
              <w:tab w:val="left" w:pos="880"/>
              <w:tab w:val="right" w:leader="dot" w:pos="9062"/>
            </w:tabs>
            <w:rPr>
              <w:rFonts w:cstheme="minorBidi"/>
              <w:noProof/>
            </w:rPr>
          </w:pPr>
          <w:hyperlink w:anchor="_Toc50273551" w:history="1">
            <w:r w:rsidR="00AD40F8" w:rsidRPr="006E0441">
              <w:rPr>
                <w:rStyle w:val="Hiperpovezava"/>
                <w:noProof/>
              </w:rPr>
              <w:t>3.1</w:t>
            </w:r>
            <w:r w:rsidR="00AD40F8" w:rsidRPr="006E0441">
              <w:rPr>
                <w:rFonts w:cstheme="minorBidi"/>
                <w:noProof/>
              </w:rPr>
              <w:tab/>
            </w:r>
            <w:r w:rsidR="00AD40F8" w:rsidRPr="006E0441">
              <w:rPr>
                <w:rStyle w:val="Hiperpovezava"/>
                <w:noProof/>
              </w:rPr>
              <w:t>Omejitve pri razporejanju pravic porabe</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_Toc50273551 \h </w:instrText>
            </w:r>
            <w:r w:rsidR="00AD40F8" w:rsidRPr="006E0441">
              <w:rPr>
                <w:noProof/>
                <w:webHidden/>
              </w:rPr>
            </w:r>
            <w:r w:rsidR="00AD40F8" w:rsidRPr="006E0441">
              <w:rPr>
                <w:noProof/>
                <w:webHidden/>
              </w:rPr>
              <w:fldChar w:fldCharType="separate"/>
            </w:r>
            <w:r>
              <w:rPr>
                <w:noProof/>
                <w:webHidden/>
              </w:rPr>
              <w:t>16</w:t>
            </w:r>
            <w:r w:rsidR="00AD40F8" w:rsidRPr="006E0441">
              <w:rPr>
                <w:noProof/>
                <w:webHidden/>
              </w:rPr>
              <w:fldChar w:fldCharType="end"/>
            </w:r>
          </w:hyperlink>
        </w:p>
        <w:p w:rsidR="00AD40F8" w:rsidRPr="006E0441" w:rsidRDefault="00935504">
          <w:pPr>
            <w:pStyle w:val="Kazalovsebine2"/>
            <w:tabs>
              <w:tab w:val="left" w:pos="880"/>
              <w:tab w:val="right" w:leader="dot" w:pos="9062"/>
            </w:tabs>
            <w:rPr>
              <w:rFonts w:cstheme="minorBidi"/>
              <w:noProof/>
            </w:rPr>
          </w:pPr>
          <w:hyperlink w:anchor="_Toc50273552" w:history="1">
            <w:r w:rsidR="00AD40F8" w:rsidRPr="006E0441">
              <w:rPr>
                <w:rStyle w:val="Hiperpovezava"/>
                <w:noProof/>
              </w:rPr>
              <w:t>3.2</w:t>
            </w:r>
            <w:r w:rsidR="00AD40F8" w:rsidRPr="006E0441">
              <w:rPr>
                <w:rFonts w:cstheme="minorBidi"/>
                <w:noProof/>
              </w:rPr>
              <w:tab/>
            </w:r>
            <w:r w:rsidR="00AD40F8" w:rsidRPr="006E0441">
              <w:rPr>
                <w:rStyle w:val="Hiperpovezava"/>
                <w:noProof/>
              </w:rPr>
              <w:t>Predlagane spremembe OP</w:t>
            </w:r>
            <w:r w:rsidR="00272D2A" w:rsidRPr="006E0441">
              <w:rPr>
                <w:rStyle w:val="Hiperpovezava"/>
                <w:noProof/>
              </w:rPr>
              <w:t xml:space="preserve"> 14 - 20</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_Toc50273552 \h </w:instrText>
            </w:r>
            <w:r w:rsidR="00AD40F8" w:rsidRPr="006E0441">
              <w:rPr>
                <w:noProof/>
                <w:webHidden/>
              </w:rPr>
            </w:r>
            <w:r w:rsidR="00AD40F8" w:rsidRPr="006E0441">
              <w:rPr>
                <w:noProof/>
                <w:webHidden/>
              </w:rPr>
              <w:fldChar w:fldCharType="separate"/>
            </w:r>
            <w:r>
              <w:rPr>
                <w:noProof/>
                <w:webHidden/>
              </w:rPr>
              <w:t>16</w:t>
            </w:r>
            <w:r w:rsidR="00AD40F8" w:rsidRPr="006E0441">
              <w:rPr>
                <w:noProof/>
                <w:webHidden/>
              </w:rPr>
              <w:fldChar w:fldCharType="end"/>
            </w:r>
          </w:hyperlink>
        </w:p>
        <w:p w:rsidR="00AD40F8" w:rsidRPr="006E0441" w:rsidRDefault="00935504">
          <w:pPr>
            <w:pStyle w:val="Kazalovsebine1"/>
            <w:tabs>
              <w:tab w:val="left" w:pos="440"/>
              <w:tab w:val="right" w:leader="dot" w:pos="9062"/>
            </w:tabs>
            <w:rPr>
              <w:rFonts w:cstheme="minorBidi"/>
              <w:noProof/>
            </w:rPr>
          </w:pPr>
          <w:hyperlink w:anchor="_Toc50273553" w:history="1">
            <w:r w:rsidR="00AD40F8" w:rsidRPr="006E0441">
              <w:rPr>
                <w:rStyle w:val="Hiperpovezava"/>
                <w:noProof/>
              </w:rPr>
              <w:t>4.</w:t>
            </w:r>
            <w:r w:rsidR="00AD40F8" w:rsidRPr="006E0441">
              <w:rPr>
                <w:rFonts w:cstheme="minorBidi"/>
                <w:noProof/>
              </w:rPr>
              <w:tab/>
            </w:r>
            <w:r w:rsidR="00AD40F8" w:rsidRPr="006E0441">
              <w:rPr>
                <w:rStyle w:val="Hiperpovezava"/>
                <w:noProof/>
              </w:rPr>
              <w:t>Prilagoditev kazalnikov okvira uspešnosti OP 14-20</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_Toc50273553 \h </w:instrText>
            </w:r>
            <w:r w:rsidR="00AD40F8" w:rsidRPr="006E0441">
              <w:rPr>
                <w:noProof/>
                <w:webHidden/>
              </w:rPr>
            </w:r>
            <w:r w:rsidR="00AD40F8" w:rsidRPr="006E0441">
              <w:rPr>
                <w:noProof/>
                <w:webHidden/>
              </w:rPr>
              <w:fldChar w:fldCharType="separate"/>
            </w:r>
            <w:r>
              <w:rPr>
                <w:noProof/>
                <w:webHidden/>
              </w:rPr>
              <w:t>23</w:t>
            </w:r>
            <w:r w:rsidR="00AD40F8" w:rsidRPr="006E0441">
              <w:rPr>
                <w:noProof/>
                <w:webHidden/>
              </w:rPr>
              <w:fldChar w:fldCharType="end"/>
            </w:r>
          </w:hyperlink>
        </w:p>
        <w:p w:rsidR="00AD40F8" w:rsidRPr="006E0441" w:rsidRDefault="00935504">
          <w:pPr>
            <w:pStyle w:val="Kazalovsebine1"/>
            <w:tabs>
              <w:tab w:val="left" w:pos="440"/>
              <w:tab w:val="right" w:leader="dot" w:pos="9062"/>
            </w:tabs>
            <w:rPr>
              <w:rFonts w:cstheme="minorBidi"/>
              <w:noProof/>
            </w:rPr>
          </w:pPr>
          <w:hyperlink w:anchor="_Toc50273554" w:history="1">
            <w:r w:rsidR="00AD40F8" w:rsidRPr="006E0441">
              <w:rPr>
                <w:rStyle w:val="Hiperpovezava"/>
                <w:noProof/>
              </w:rPr>
              <w:t>5.</w:t>
            </w:r>
            <w:r w:rsidR="00AD40F8" w:rsidRPr="006E0441">
              <w:rPr>
                <w:rFonts w:cstheme="minorBidi"/>
                <w:noProof/>
              </w:rPr>
              <w:tab/>
            </w:r>
            <w:r w:rsidR="00AD40F8" w:rsidRPr="006E0441">
              <w:rPr>
                <w:rStyle w:val="Hiperpovezava"/>
                <w:noProof/>
              </w:rPr>
              <w:t xml:space="preserve">Ureditev kazalnikov in drugih povezanih vsebin v povezavi s spremembami izvajanja OP 14-20 zaradi </w:t>
            </w:r>
            <w:r w:rsidR="00272D2A" w:rsidRPr="006E0441">
              <w:rPr>
                <w:rStyle w:val="Hiperpovezava"/>
                <w:noProof/>
              </w:rPr>
              <w:t>COVID 19</w:t>
            </w:r>
            <w:r w:rsidR="00AD40F8" w:rsidRPr="006E0441">
              <w:rPr>
                <w:rStyle w:val="Hiperpovezava"/>
                <w:noProof/>
                <w:webHidden/>
              </w:rPr>
              <w:tab/>
            </w:r>
            <w:r w:rsidR="00AD40F8" w:rsidRPr="006E0441">
              <w:rPr>
                <w:noProof/>
                <w:webHidden/>
              </w:rPr>
              <w:fldChar w:fldCharType="begin"/>
            </w:r>
            <w:r w:rsidR="00AD40F8" w:rsidRPr="006E0441">
              <w:rPr>
                <w:noProof/>
                <w:webHidden/>
              </w:rPr>
              <w:instrText xml:space="preserve"> PAGEREF _Toc50273554 \h </w:instrText>
            </w:r>
            <w:r w:rsidR="00AD40F8" w:rsidRPr="006E0441">
              <w:rPr>
                <w:noProof/>
                <w:webHidden/>
              </w:rPr>
            </w:r>
            <w:r w:rsidR="00AD40F8" w:rsidRPr="006E0441">
              <w:rPr>
                <w:noProof/>
                <w:webHidden/>
              </w:rPr>
              <w:fldChar w:fldCharType="separate"/>
            </w:r>
            <w:r>
              <w:rPr>
                <w:noProof/>
                <w:webHidden/>
              </w:rPr>
              <w:t>30</w:t>
            </w:r>
            <w:r w:rsidR="00AD40F8" w:rsidRPr="006E0441">
              <w:rPr>
                <w:noProof/>
                <w:webHidden/>
              </w:rPr>
              <w:fldChar w:fldCharType="end"/>
            </w:r>
          </w:hyperlink>
        </w:p>
        <w:p w:rsidR="00AD40F8" w:rsidRPr="006E0441" w:rsidRDefault="00935504">
          <w:pPr>
            <w:pStyle w:val="Kazalovsebine1"/>
            <w:tabs>
              <w:tab w:val="left" w:pos="440"/>
              <w:tab w:val="right" w:leader="dot" w:pos="9062"/>
            </w:tabs>
            <w:rPr>
              <w:rFonts w:cstheme="minorBidi"/>
              <w:noProof/>
            </w:rPr>
          </w:pPr>
          <w:hyperlink w:anchor="_Toc50273555" w:history="1">
            <w:r w:rsidR="00AD40F8" w:rsidRPr="006E0441">
              <w:rPr>
                <w:rStyle w:val="Hiperpovezava"/>
                <w:noProof/>
              </w:rPr>
              <w:t>6.</w:t>
            </w:r>
            <w:r w:rsidR="00AD40F8" w:rsidRPr="006E0441">
              <w:rPr>
                <w:rFonts w:cstheme="minorBidi"/>
                <w:noProof/>
              </w:rPr>
              <w:tab/>
            </w:r>
            <w:r w:rsidR="00AD40F8" w:rsidRPr="006E0441">
              <w:rPr>
                <w:rStyle w:val="Hiperpovezava"/>
                <w:noProof/>
              </w:rPr>
              <w:t>Zaključek</w:t>
            </w:r>
            <w:r w:rsidR="00AD40F8" w:rsidRPr="006E0441">
              <w:rPr>
                <w:noProof/>
                <w:webHidden/>
              </w:rPr>
              <w:tab/>
            </w:r>
            <w:r w:rsidR="00AD40F8" w:rsidRPr="006E0441">
              <w:rPr>
                <w:noProof/>
                <w:webHidden/>
              </w:rPr>
              <w:fldChar w:fldCharType="begin"/>
            </w:r>
            <w:r w:rsidR="00AD40F8" w:rsidRPr="006E0441">
              <w:rPr>
                <w:noProof/>
                <w:webHidden/>
              </w:rPr>
              <w:instrText xml:space="preserve"> PAGEREF _Toc50273555 \h </w:instrText>
            </w:r>
            <w:r w:rsidR="00AD40F8" w:rsidRPr="006E0441">
              <w:rPr>
                <w:noProof/>
                <w:webHidden/>
              </w:rPr>
            </w:r>
            <w:r w:rsidR="00AD40F8" w:rsidRPr="006E0441">
              <w:rPr>
                <w:noProof/>
                <w:webHidden/>
              </w:rPr>
              <w:fldChar w:fldCharType="separate"/>
            </w:r>
            <w:r>
              <w:rPr>
                <w:noProof/>
                <w:webHidden/>
              </w:rPr>
              <w:t>32</w:t>
            </w:r>
            <w:r w:rsidR="00AD40F8" w:rsidRPr="006E0441">
              <w:rPr>
                <w:noProof/>
                <w:webHidden/>
              </w:rPr>
              <w:fldChar w:fldCharType="end"/>
            </w:r>
          </w:hyperlink>
        </w:p>
        <w:p w:rsidR="006B31C1" w:rsidRPr="006E0441" w:rsidRDefault="006B31C1" w:rsidP="006B31C1">
          <w:r w:rsidRPr="006E0441">
            <w:rPr>
              <w:b/>
              <w:bCs/>
            </w:rPr>
            <w:fldChar w:fldCharType="end"/>
          </w:r>
        </w:p>
      </w:sdtContent>
    </w:sdt>
    <w:p w:rsidR="006B31C1" w:rsidRPr="006E0441" w:rsidRDefault="006B31C1" w:rsidP="006B31C1">
      <w:pPr>
        <w:rPr>
          <w:b/>
          <w:sz w:val="32"/>
        </w:rPr>
      </w:pPr>
      <w:r w:rsidRPr="006E0441">
        <w:rPr>
          <w:b/>
          <w:sz w:val="32"/>
        </w:rPr>
        <w:br w:type="page"/>
      </w:r>
      <w:bookmarkStart w:id="0" w:name="_GoBack"/>
      <w:bookmarkEnd w:id="0"/>
    </w:p>
    <w:p w:rsidR="006B31C1" w:rsidRPr="006E0441" w:rsidRDefault="00C54543" w:rsidP="00E22539">
      <w:pPr>
        <w:pStyle w:val="Naslov1"/>
        <w:numPr>
          <w:ilvl w:val="0"/>
          <w:numId w:val="16"/>
        </w:numPr>
        <w:ind w:hanging="720"/>
      </w:pPr>
      <w:bookmarkStart w:id="1" w:name="_Toc50273543"/>
      <w:r w:rsidRPr="006E0441">
        <w:rPr>
          <w:caps w:val="0"/>
        </w:rPr>
        <w:lastRenderedPageBreak/>
        <w:t>U</w:t>
      </w:r>
      <w:r w:rsidR="006042F5" w:rsidRPr="006E0441">
        <w:rPr>
          <w:caps w:val="0"/>
        </w:rPr>
        <w:t>vod</w:t>
      </w:r>
      <w:bookmarkEnd w:id="1"/>
    </w:p>
    <w:p w:rsidR="00874FD9" w:rsidRPr="006E0441" w:rsidRDefault="00874FD9">
      <w:pPr>
        <w:rPr>
          <w:rFonts w:asciiTheme="majorHAnsi" w:eastAsiaTheme="majorEastAsia" w:hAnsiTheme="majorHAnsi" w:cstheme="majorBidi"/>
          <w:caps/>
          <w:sz w:val="28"/>
          <w:szCs w:val="28"/>
        </w:rPr>
      </w:pPr>
    </w:p>
    <w:p w:rsidR="00874FD9" w:rsidRPr="006E0441" w:rsidRDefault="00874FD9" w:rsidP="00874FD9">
      <w:pPr>
        <w:jc w:val="both"/>
        <w:rPr>
          <w:rFonts w:cs="Arial"/>
          <w:szCs w:val="20"/>
        </w:rPr>
      </w:pPr>
      <w:r w:rsidRPr="006E0441">
        <w:rPr>
          <w:rFonts w:cs="Arial"/>
          <w:szCs w:val="20"/>
        </w:rPr>
        <w:t>Služba vlade Republike Slovenije za razvoj in evropsko kohezijsko politiko v vlogi organa upravljanja, v skladu s pristojnostmi, ki izhajajo iz 125. člena Uredbe EU 1303/2013,</w:t>
      </w:r>
      <w:r w:rsidR="00B7764E" w:rsidRPr="006E0441">
        <w:rPr>
          <w:rFonts w:cs="Arial"/>
          <w:szCs w:val="20"/>
        </w:rPr>
        <w:t xml:space="preserve"> predlaga</w:t>
      </w:r>
      <w:r w:rsidRPr="006E0441">
        <w:rPr>
          <w:rFonts w:cs="Arial"/>
          <w:szCs w:val="20"/>
        </w:rPr>
        <w:t xml:space="preserve"> </w:t>
      </w:r>
      <w:r w:rsidR="00026052">
        <w:rPr>
          <w:rFonts w:cs="Arial"/>
          <w:szCs w:val="20"/>
        </w:rPr>
        <w:t xml:space="preserve">izhodišča za </w:t>
      </w:r>
      <w:r w:rsidRPr="006E0441">
        <w:rPr>
          <w:rFonts w:cs="Arial"/>
          <w:szCs w:val="20"/>
        </w:rPr>
        <w:t xml:space="preserve">spremembo Operativnega programa za izvajanje evropske kohezijske politike za programsko obdobje 2014-2020, </w:t>
      </w:r>
      <w:r w:rsidR="00026052">
        <w:rPr>
          <w:rFonts w:cs="Arial"/>
          <w:szCs w:val="20"/>
        </w:rPr>
        <w:t>različico</w:t>
      </w:r>
      <w:r w:rsidRPr="006E0441">
        <w:rPr>
          <w:rFonts w:cs="Arial"/>
          <w:szCs w:val="20"/>
        </w:rPr>
        <w:t xml:space="preserve"> 6.0 (v nadaljevanju: OP). </w:t>
      </w:r>
    </w:p>
    <w:p w:rsidR="00874FD9" w:rsidRPr="006E0441" w:rsidRDefault="00874FD9" w:rsidP="00874FD9">
      <w:pPr>
        <w:jc w:val="both"/>
        <w:rPr>
          <w:rFonts w:cs="Arial"/>
          <w:szCs w:val="20"/>
        </w:rPr>
      </w:pPr>
      <w:r w:rsidRPr="006E0441">
        <w:rPr>
          <w:rFonts w:cs="Arial"/>
          <w:szCs w:val="20"/>
        </w:rPr>
        <w:t>Spremembo OP narekujejo predvsem naslednji razlogi:</w:t>
      </w:r>
    </w:p>
    <w:p w:rsidR="00874FD9" w:rsidRPr="006E0441" w:rsidRDefault="00874FD9" w:rsidP="00E22539">
      <w:pPr>
        <w:pStyle w:val="Odstavekseznama"/>
        <w:numPr>
          <w:ilvl w:val="0"/>
          <w:numId w:val="8"/>
        </w:numPr>
        <w:autoSpaceDE w:val="0"/>
        <w:autoSpaceDN w:val="0"/>
        <w:adjustRightInd w:val="0"/>
        <w:spacing w:after="0" w:line="240" w:lineRule="auto"/>
        <w:contextualSpacing w:val="0"/>
        <w:jc w:val="both"/>
        <w:rPr>
          <w:szCs w:val="20"/>
        </w:rPr>
      </w:pPr>
      <w:r w:rsidRPr="006E0441">
        <w:rPr>
          <w:szCs w:val="20"/>
        </w:rPr>
        <w:t xml:space="preserve">Dodatna evropska sredstva iz naslova pobude </w:t>
      </w:r>
      <w:proofErr w:type="spellStart"/>
      <w:r w:rsidR="006D6FD1" w:rsidRPr="006E0441">
        <w:rPr>
          <w:szCs w:val="20"/>
        </w:rPr>
        <w:t>React</w:t>
      </w:r>
      <w:proofErr w:type="spellEnd"/>
      <w:r w:rsidRPr="006E0441">
        <w:rPr>
          <w:szCs w:val="20"/>
        </w:rPr>
        <w:t>-EU, skladno s sprejetim dogovorom Evropskega sveta o večletnem finančnem okviru in instrumentu za okrevanje z dne 21. 7. 2020.</w:t>
      </w:r>
    </w:p>
    <w:p w:rsidR="00B7764E" w:rsidRPr="006E0441" w:rsidRDefault="00B7764E" w:rsidP="00E22539">
      <w:pPr>
        <w:pStyle w:val="Odstavekseznama"/>
        <w:numPr>
          <w:ilvl w:val="0"/>
          <w:numId w:val="8"/>
        </w:numPr>
        <w:spacing w:after="200" w:line="276" w:lineRule="auto"/>
        <w:jc w:val="both"/>
        <w:rPr>
          <w:szCs w:val="20"/>
        </w:rPr>
      </w:pPr>
      <w:r w:rsidRPr="006E0441">
        <w:rPr>
          <w:szCs w:val="20"/>
        </w:rPr>
        <w:t>Ustvarjanje pogojev za</w:t>
      </w:r>
      <w:r w:rsidR="007C4867" w:rsidRPr="006E0441">
        <w:rPr>
          <w:szCs w:val="20"/>
        </w:rPr>
        <w:t xml:space="preserve"> ključna cilja na področju evropske kohezijske politike, dosego zastavljenih (razvojnih) ciljev</w:t>
      </w:r>
      <w:r w:rsidR="00C47F28" w:rsidRPr="006E0441">
        <w:rPr>
          <w:szCs w:val="20"/>
        </w:rPr>
        <w:t>, kazalnikov</w:t>
      </w:r>
      <w:r w:rsidR="007C4867" w:rsidRPr="006E0441">
        <w:rPr>
          <w:szCs w:val="20"/>
        </w:rPr>
        <w:t xml:space="preserve"> in</w:t>
      </w:r>
      <w:r w:rsidRPr="006E0441">
        <w:rPr>
          <w:szCs w:val="20"/>
        </w:rPr>
        <w:t xml:space="preserve"> 100 % </w:t>
      </w:r>
      <w:r w:rsidR="007C4867" w:rsidRPr="006E0441">
        <w:rPr>
          <w:szCs w:val="20"/>
        </w:rPr>
        <w:t>koriščenje</w:t>
      </w:r>
      <w:r w:rsidRPr="006E0441">
        <w:rPr>
          <w:szCs w:val="20"/>
        </w:rPr>
        <w:t xml:space="preserve"> evrops</w:t>
      </w:r>
      <w:r w:rsidR="002D044E" w:rsidRPr="006E0441">
        <w:rPr>
          <w:szCs w:val="20"/>
        </w:rPr>
        <w:t>kih sredstev veljavnega OP</w:t>
      </w:r>
      <w:r w:rsidR="00C47F28" w:rsidRPr="006E0441">
        <w:rPr>
          <w:szCs w:val="20"/>
        </w:rPr>
        <w:t>14-20</w:t>
      </w:r>
      <w:r w:rsidRPr="006E0441">
        <w:rPr>
          <w:szCs w:val="20"/>
        </w:rPr>
        <w:t>.</w:t>
      </w:r>
    </w:p>
    <w:p w:rsidR="00874FD9" w:rsidRPr="006E0441" w:rsidRDefault="00874FD9" w:rsidP="00E22539">
      <w:pPr>
        <w:pStyle w:val="Odstavekseznama"/>
        <w:numPr>
          <w:ilvl w:val="0"/>
          <w:numId w:val="8"/>
        </w:numPr>
        <w:spacing w:after="200" w:line="276" w:lineRule="auto"/>
        <w:jc w:val="both"/>
        <w:rPr>
          <w:szCs w:val="20"/>
        </w:rPr>
      </w:pPr>
      <w:r w:rsidRPr="006E0441">
        <w:rPr>
          <w:szCs w:val="20"/>
        </w:rPr>
        <w:t>Ureditev kazalnikov in drugih povezanih vsebin za spremljanje odziva kohezijske politike na COVID-19 pandemijo (skladno z zahtevo EK).</w:t>
      </w:r>
    </w:p>
    <w:p w:rsidR="00B7764E" w:rsidRPr="006E0441" w:rsidRDefault="00026052" w:rsidP="00E22539">
      <w:pPr>
        <w:pStyle w:val="Odstavekseznama"/>
        <w:numPr>
          <w:ilvl w:val="0"/>
          <w:numId w:val="8"/>
        </w:numPr>
        <w:spacing w:after="200" w:line="276" w:lineRule="auto"/>
        <w:jc w:val="both"/>
        <w:rPr>
          <w:szCs w:val="20"/>
        </w:rPr>
      </w:pPr>
      <w:r>
        <w:rPr>
          <w:szCs w:val="20"/>
        </w:rPr>
        <w:t>Prilagoditev</w:t>
      </w:r>
      <w:r w:rsidR="00B7764E" w:rsidRPr="006E0441">
        <w:rPr>
          <w:szCs w:val="20"/>
        </w:rPr>
        <w:t xml:space="preserve"> kazalnikov</w:t>
      </w:r>
      <w:r>
        <w:rPr>
          <w:szCs w:val="20"/>
        </w:rPr>
        <w:t xml:space="preserve"> za merjenje </w:t>
      </w:r>
      <w:r w:rsidR="00B7764E" w:rsidRPr="006E0441">
        <w:rPr>
          <w:szCs w:val="20"/>
        </w:rPr>
        <w:t xml:space="preserve">uspešnosti </w:t>
      </w:r>
      <w:r>
        <w:rPr>
          <w:szCs w:val="20"/>
        </w:rPr>
        <w:t xml:space="preserve">izvajanja </w:t>
      </w:r>
      <w:r w:rsidR="00B7764E" w:rsidRPr="006E0441">
        <w:rPr>
          <w:szCs w:val="20"/>
        </w:rPr>
        <w:t>OP 14-20 in s tem povezanih vsebin, kjer</w:t>
      </w:r>
      <w:r w:rsidR="00272D2A" w:rsidRPr="006E0441">
        <w:rPr>
          <w:szCs w:val="20"/>
        </w:rPr>
        <w:t xml:space="preserve"> je to </w:t>
      </w:r>
      <w:r w:rsidR="00B7764E" w:rsidRPr="006E0441">
        <w:rPr>
          <w:szCs w:val="20"/>
        </w:rPr>
        <w:t>nujno potrebno in utemeljeno.</w:t>
      </w:r>
    </w:p>
    <w:p w:rsidR="00C27D60" w:rsidRPr="006E0441" w:rsidRDefault="00E624A0" w:rsidP="00874FD9">
      <w:pPr>
        <w:jc w:val="both"/>
        <w:rPr>
          <w:szCs w:val="20"/>
        </w:rPr>
      </w:pPr>
      <w:r w:rsidRPr="006E0441">
        <w:rPr>
          <w:szCs w:val="20"/>
        </w:rPr>
        <w:t xml:space="preserve">Pri tem je </w:t>
      </w:r>
      <w:r w:rsidR="007C4867" w:rsidRPr="006E0441">
        <w:rPr>
          <w:szCs w:val="20"/>
        </w:rPr>
        <w:t xml:space="preserve">ključnega </w:t>
      </w:r>
      <w:r w:rsidR="00026052">
        <w:rPr>
          <w:szCs w:val="20"/>
        </w:rPr>
        <w:t>pomena hiter odziv in priprava</w:t>
      </w:r>
      <w:r w:rsidR="00272D2A" w:rsidRPr="006E0441">
        <w:rPr>
          <w:szCs w:val="20"/>
        </w:rPr>
        <w:t xml:space="preserve"> formalnih podlag za koriščenje sredstev iz </w:t>
      </w:r>
      <w:r w:rsidRPr="006E0441">
        <w:rPr>
          <w:szCs w:val="20"/>
        </w:rPr>
        <w:t xml:space="preserve"> </w:t>
      </w:r>
      <w:r w:rsidR="00874FD9" w:rsidRPr="006E0441">
        <w:rPr>
          <w:szCs w:val="20"/>
        </w:rPr>
        <w:t>naslova pobude REACT-EU</w:t>
      </w:r>
      <w:r w:rsidR="00272D2A" w:rsidRPr="006E0441">
        <w:rPr>
          <w:szCs w:val="20"/>
        </w:rPr>
        <w:t xml:space="preserve">. </w:t>
      </w:r>
      <w:r w:rsidR="009526E5" w:rsidRPr="006E0441">
        <w:rPr>
          <w:szCs w:val="20"/>
        </w:rPr>
        <w:t xml:space="preserve">Sloveniji </w:t>
      </w:r>
      <w:r w:rsidR="00272D2A" w:rsidRPr="006E0441">
        <w:rPr>
          <w:szCs w:val="20"/>
        </w:rPr>
        <w:t xml:space="preserve">so v okviru pobude </w:t>
      </w:r>
      <w:proofErr w:type="spellStart"/>
      <w:r w:rsidR="00272D2A" w:rsidRPr="006E0441">
        <w:rPr>
          <w:szCs w:val="20"/>
        </w:rPr>
        <w:t>React</w:t>
      </w:r>
      <w:proofErr w:type="spellEnd"/>
      <w:r w:rsidR="00272D2A" w:rsidRPr="006E0441">
        <w:rPr>
          <w:szCs w:val="20"/>
        </w:rPr>
        <w:t xml:space="preserve">-EU predvidena </w:t>
      </w:r>
      <w:r w:rsidR="00874FD9" w:rsidRPr="006E0441">
        <w:rPr>
          <w:szCs w:val="20"/>
        </w:rPr>
        <w:t>dodatna sredstva v višini 312 mio evrov</w:t>
      </w:r>
      <w:r w:rsidR="001B326D" w:rsidRPr="006E0441">
        <w:rPr>
          <w:szCs w:val="20"/>
        </w:rPr>
        <w:t xml:space="preserve"> v stalnih cenah 2018 oziroma 333 mio EUR v tekočih cenah</w:t>
      </w:r>
      <w:r w:rsidR="00874FD9" w:rsidRPr="006E0441">
        <w:rPr>
          <w:szCs w:val="20"/>
        </w:rPr>
        <w:t xml:space="preserve"> (natančen znesek bo izračunan naknadno na podlagi statističnih podatkov za države članice za leti 2020 in 2021)</w:t>
      </w:r>
      <w:r w:rsidR="00272D2A" w:rsidRPr="006E0441">
        <w:rPr>
          <w:szCs w:val="20"/>
        </w:rPr>
        <w:t>.</w:t>
      </w:r>
      <w:r w:rsidR="007C4867" w:rsidRPr="006E0441">
        <w:rPr>
          <w:szCs w:val="20"/>
        </w:rPr>
        <w:t xml:space="preserve"> </w:t>
      </w:r>
      <w:r w:rsidR="00272D2A" w:rsidRPr="006E0441">
        <w:rPr>
          <w:szCs w:val="20"/>
        </w:rPr>
        <w:t xml:space="preserve"> K</w:t>
      </w:r>
      <w:r w:rsidR="007C4867" w:rsidRPr="006E0441">
        <w:rPr>
          <w:szCs w:val="20"/>
        </w:rPr>
        <w:t>ončni datum upravič</w:t>
      </w:r>
      <w:r w:rsidR="00272D2A" w:rsidRPr="006E0441">
        <w:rPr>
          <w:szCs w:val="20"/>
        </w:rPr>
        <w:t xml:space="preserve">enosti izdatkov pri upravičencih </w:t>
      </w:r>
      <w:r w:rsidR="007C4867" w:rsidRPr="006E0441">
        <w:rPr>
          <w:szCs w:val="20"/>
        </w:rPr>
        <w:t>za programsko obdobje 2014-2020 ostaja enak, torej 31.12.2023</w:t>
      </w:r>
      <w:r w:rsidR="00272D2A" w:rsidRPr="006E0441">
        <w:rPr>
          <w:szCs w:val="20"/>
        </w:rPr>
        <w:t>.</w:t>
      </w:r>
      <w:r w:rsidR="000B6B50" w:rsidRPr="006E0441">
        <w:rPr>
          <w:szCs w:val="20"/>
        </w:rPr>
        <w:t xml:space="preserve"> </w:t>
      </w:r>
    </w:p>
    <w:p w:rsidR="00272D2A" w:rsidRPr="006E0441" w:rsidRDefault="00272D2A" w:rsidP="00874FD9">
      <w:pPr>
        <w:jc w:val="both"/>
        <w:rPr>
          <w:b/>
          <w:szCs w:val="20"/>
        </w:rPr>
      </w:pPr>
      <w:r w:rsidRPr="006E0441">
        <w:rPr>
          <w:szCs w:val="20"/>
        </w:rPr>
        <w:t xml:space="preserve">Iz tega razloga je nujna čimprejšnja priprava in potrditev spremembe OP 14 – 20, ki bo zagotovila formalne podlage za izdajo odločitev. </w:t>
      </w:r>
    </w:p>
    <w:p w:rsidR="00222452" w:rsidRPr="006E0441" w:rsidRDefault="00026052" w:rsidP="00874FD9">
      <w:pPr>
        <w:jc w:val="both"/>
        <w:rPr>
          <w:b/>
          <w:szCs w:val="20"/>
        </w:rPr>
      </w:pPr>
      <w:r>
        <w:rPr>
          <w:b/>
          <w:szCs w:val="20"/>
        </w:rPr>
        <w:t>Izhodišča za</w:t>
      </w:r>
      <w:r w:rsidR="00222452" w:rsidRPr="006E0441">
        <w:rPr>
          <w:b/>
          <w:szCs w:val="20"/>
        </w:rPr>
        <w:t xml:space="preserve"> sprememb</w:t>
      </w:r>
      <w:r>
        <w:rPr>
          <w:b/>
          <w:szCs w:val="20"/>
        </w:rPr>
        <w:t>o</w:t>
      </w:r>
      <w:r w:rsidR="00222452" w:rsidRPr="006E0441">
        <w:rPr>
          <w:b/>
          <w:szCs w:val="20"/>
        </w:rPr>
        <w:t xml:space="preserve"> OP, </w:t>
      </w:r>
      <w:r>
        <w:rPr>
          <w:b/>
          <w:szCs w:val="20"/>
        </w:rPr>
        <w:t>različica</w:t>
      </w:r>
      <w:r w:rsidR="00222452" w:rsidRPr="006E0441">
        <w:rPr>
          <w:b/>
          <w:szCs w:val="20"/>
        </w:rPr>
        <w:t xml:space="preserve"> 6.0</w:t>
      </w:r>
      <w:r>
        <w:rPr>
          <w:b/>
          <w:szCs w:val="20"/>
        </w:rPr>
        <w:t>, so</w:t>
      </w:r>
      <w:r w:rsidR="00222452" w:rsidRPr="006E0441">
        <w:rPr>
          <w:b/>
          <w:szCs w:val="20"/>
        </w:rPr>
        <w:t xml:space="preserve"> pripravljen</w:t>
      </w:r>
      <w:r>
        <w:rPr>
          <w:b/>
          <w:szCs w:val="20"/>
        </w:rPr>
        <w:t>a</w:t>
      </w:r>
      <w:r w:rsidR="00222452" w:rsidRPr="006E0441">
        <w:rPr>
          <w:b/>
          <w:szCs w:val="20"/>
        </w:rPr>
        <w:t xml:space="preserve"> v dveh vsebinskih sklopih:</w:t>
      </w:r>
    </w:p>
    <w:p w:rsidR="00C27D60" w:rsidRPr="006E0441" w:rsidRDefault="00C27D60" w:rsidP="00C27D60">
      <w:pPr>
        <w:pStyle w:val="Odstavekseznama"/>
        <w:jc w:val="both"/>
        <w:rPr>
          <w:b/>
          <w:szCs w:val="20"/>
        </w:rPr>
      </w:pPr>
    </w:p>
    <w:p w:rsidR="00222452" w:rsidRPr="006E0441" w:rsidRDefault="00222452" w:rsidP="00E22539">
      <w:pPr>
        <w:pStyle w:val="Odstavekseznama"/>
        <w:numPr>
          <w:ilvl w:val="0"/>
          <w:numId w:val="9"/>
        </w:numPr>
        <w:jc w:val="both"/>
        <w:rPr>
          <w:b/>
          <w:szCs w:val="20"/>
        </w:rPr>
      </w:pPr>
      <w:r w:rsidRPr="006E0441">
        <w:rPr>
          <w:b/>
          <w:szCs w:val="20"/>
        </w:rPr>
        <w:t>Utemeljitev in načrtovanje porabe dodatnih evropskih sredstev iz naslova pobude REACT-EU v okviru nove prednostni osi znotraj OP</w:t>
      </w:r>
      <w:r w:rsidR="00C27D60" w:rsidRPr="006E0441">
        <w:rPr>
          <w:b/>
          <w:szCs w:val="20"/>
        </w:rPr>
        <w:t>.</w:t>
      </w:r>
    </w:p>
    <w:p w:rsidR="00222452" w:rsidRPr="006E0441" w:rsidRDefault="00222452" w:rsidP="00E22539">
      <w:pPr>
        <w:pStyle w:val="Odstavekseznama"/>
        <w:numPr>
          <w:ilvl w:val="0"/>
          <w:numId w:val="9"/>
        </w:numPr>
        <w:jc w:val="both"/>
        <w:rPr>
          <w:b/>
          <w:szCs w:val="20"/>
        </w:rPr>
      </w:pPr>
      <w:r w:rsidRPr="006E0441">
        <w:rPr>
          <w:b/>
          <w:szCs w:val="20"/>
        </w:rPr>
        <w:t>Sprememba veljavnega OP</w:t>
      </w:r>
      <w:r w:rsidR="00C27D60" w:rsidRPr="006E0441">
        <w:rPr>
          <w:b/>
          <w:szCs w:val="20"/>
        </w:rPr>
        <w:t>.</w:t>
      </w:r>
    </w:p>
    <w:p w:rsidR="007E6EBC" w:rsidRPr="006E0441" w:rsidRDefault="007E6EBC" w:rsidP="007E6EBC">
      <w:pPr>
        <w:jc w:val="both"/>
        <w:rPr>
          <w:szCs w:val="20"/>
        </w:rPr>
      </w:pPr>
    </w:p>
    <w:p w:rsidR="00677931" w:rsidRPr="006E0441" w:rsidRDefault="00272D2A" w:rsidP="00677931">
      <w:pPr>
        <w:jc w:val="both"/>
      </w:pPr>
      <w:r w:rsidRPr="006E0441">
        <w:t xml:space="preserve">Sprememba OP 14-20 bo omogočila koriščenje dodatnih sredstev, ki so zagotovljena v okviru pobude </w:t>
      </w:r>
      <w:proofErr w:type="spellStart"/>
      <w:r w:rsidRPr="006E0441">
        <w:t>React</w:t>
      </w:r>
      <w:proofErr w:type="spellEnd"/>
      <w:r w:rsidR="002D08A6" w:rsidRPr="006E0441">
        <w:t>-EU</w:t>
      </w:r>
      <w:r w:rsidRPr="006E0441">
        <w:t>, kar bo imelo pozitiven</w:t>
      </w:r>
      <w:r w:rsidR="002D08A6" w:rsidRPr="006E0441">
        <w:t xml:space="preserve"> učinek</w:t>
      </w:r>
      <w:r w:rsidRPr="006E0441">
        <w:t xml:space="preserve"> na odpravljanje posledic zaradi COVID 19 krize in krepitev posameznih sistemov ter blaženje posledic pri </w:t>
      </w:r>
      <w:r w:rsidR="006E0441" w:rsidRPr="006E0441">
        <w:t>ljudeh</w:t>
      </w:r>
      <w:r w:rsidRPr="006E0441">
        <w:t>, saj bodo sredstva</w:t>
      </w:r>
      <w:r w:rsidR="002D08A6" w:rsidRPr="006E0441">
        <w:t xml:space="preserve"> uporabljena takoj in v skladu s potrebami in revizijo trenutnega programskega obdobja do leta 2023.</w:t>
      </w:r>
      <w:r w:rsidR="007311E1" w:rsidRPr="006E0441">
        <w:t xml:space="preserve"> iz tega razloga je potrebno hitro programiranje in hkrati</w:t>
      </w:r>
      <w:r w:rsidR="002D08A6" w:rsidRPr="006E0441">
        <w:t xml:space="preserve"> tudi hiter prehod k izvedbi ukrepov. </w:t>
      </w:r>
      <w:r w:rsidR="007311E1" w:rsidRPr="006E0441">
        <w:t xml:space="preserve">Pri spremembi OP je bila upoštevana tudi odločitev, ki je bila sprejeta na Evropskem svetu in govori o tem </w:t>
      </w:r>
      <w:r w:rsidR="002D08A6" w:rsidRPr="006E0441">
        <w:t>, da</w:t>
      </w:r>
      <w:r w:rsidR="007311E1" w:rsidRPr="006E0441">
        <w:t xml:space="preserve"> so upravičeni</w:t>
      </w:r>
      <w:r w:rsidR="002D08A6" w:rsidRPr="006E0441">
        <w:t xml:space="preserve"> izdatki</w:t>
      </w:r>
      <w:r w:rsidR="001B326D" w:rsidRPr="006E0441">
        <w:t xml:space="preserve"> </w:t>
      </w:r>
      <w:r w:rsidR="002D08A6" w:rsidRPr="006E0441">
        <w:t xml:space="preserve">iz naslova </w:t>
      </w:r>
      <w:proofErr w:type="spellStart"/>
      <w:r w:rsidR="002D08A6" w:rsidRPr="006E0441">
        <w:t>R</w:t>
      </w:r>
      <w:r w:rsidR="00026052">
        <w:t>eact</w:t>
      </w:r>
      <w:proofErr w:type="spellEnd"/>
      <w:r w:rsidR="002D08A6" w:rsidRPr="006E0441">
        <w:t xml:space="preserve">-EU </w:t>
      </w:r>
      <w:r w:rsidR="007311E1" w:rsidRPr="006E0441">
        <w:t xml:space="preserve">vsi izdatki, ki so nastali po </w:t>
      </w:r>
      <w:r w:rsidR="002D08A6" w:rsidRPr="006E0441">
        <w:t>1. februarj</w:t>
      </w:r>
      <w:r w:rsidR="007311E1" w:rsidRPr="006E0441">
        <w:t>u</w:t>
      </w:r>
      <w:r w:rsidR="002D08A6" w:rsidRPr="006E0441">
        <w:t xml:space="preserve"> 2020</w:t>
      </w:r>
      <w:r w:rsidR="007311E1" w:rsidRPr="006E0441">
        <w:t>.</w:t>
      </w:r>
    </w:p>
    <w:p w:rsidR="007311E1" w:rsidRPr="006E0441" w:rsidRDefault="007311E1" w:rsidP="007311E1">
      <w:pPr>
        <w:jc w:val="both"/>
      </w:pPr>
      <w:r w:rsidRPr="006E0441">
        <w:t>K hitremu odzivu in hitri pripravi dokumenta sta nas z dopisom z dne 29.7.2020 pozvala tudi Evropska komisarja Elisa FERREIRA  in Nicolas SCHMIT. Med drugim sta izpostavila, da je po političnem dogovoru, ki so ga pozdravile vse države članice o Večletnem finančnem okviru za obdobje 2021-</w:t>
      </w:r>
      <w:r w:rsidR="00026052">
        <w:t>2027 in o obnov</w:t>
      </w:r>
      <w:r w:rsidRPr="006E0441">
        <w:t xml:space="preserve">i, ki jo bo omogočil načrt EU naslednje generacije - in ne glede na potrebo po potrditvi Evropskega parlamenta in </w:t>
      </w:r>
      <w:r w:rsidRPr="006E0441">
        <w:lastRenderedPageBreak/>
        <w:t xml:space="preserve">postopku soodločanja o predlogu Komisije za </w:t>
      </w:r>
      <w:proofErr w:type="spellStart"/>
      <w:r w:rsidRPr="006E0441">
        <w:t>R</w:t>
      </w:r>
      <w:r w:rsidR="00026052">
        <w:t>eact</w:t>
      </w:r>
      <w:proofErr w:type="spellEnd"/>
      <w:r w:rsidRPr="006E0441">
        <w:t xml:space="preserve">-EU - pomembno začeti priprave za </w:t>
      </w:r>
      <w:r w:rsidR="00026052">
        <w:t xml:space="preserve">učinkovito </w:t>
      </w:r>
      <w:r w:rsidRPr="006E0441">
        <w:t>uporabo teh dodatnih naložbenih možnosti.</w:t>
      </w:r>
    </w:p>
    <w:p w:rsidR="007311E1" w:rsidRPr="006E0441" w:rsidRDefault="007311E1" w:rsidP="007311E1">
      <w:pPr>
        <w:jc w:val="both"/>
      </w:pPr>
      <w:r w:rsidRPr="006E0441">
        <w:t>Glede vsebine ukrepov (</w:t>
      </w:r>
      <w:r w:rsidR="00026052">
        <w:t>naložb</w:t>
      </w:r>
      <w:r w:rsidRPr="006E0441">
        <w:t xml:space="preserve">), ki naj bodo naslovljeni s sredstvi iz pobude </w:t>
      </w:r>
      <w:proofErr w:type="spellStart"/>
      <w:r w:rsidRPr="006E0441">
        <w:t>React</w:t>
      </w:r>
      <w:proofErr w:type="spellEnd"/>
      <w:r w:rsidRPr="006E0441">
        <w:t>-EU</w:t>
      </w:r>
      <w:r w:rsidR="00026052">
        <w:t>,</w:t>
      </w:r>
      <w:r w:rsidRPr="006E0441">
        <w:t xml:space="preserve"> sta komisarka in komisar poudarila: » Kot del ins</w:t>
      </w:r>
      <w:r w:rsidR="00026052">
        <w:t xml:space="preserve">trumentov EU nove generacije </w:t>
      </w:r>
      <w:r w:rsidRPr="006E0441">
        <w:t xml:space="preserve">bo </w:t>
      </w:r>
      <w:proofErr w:type="spellStart"/>
      <w:r w:rsidRPr="006E0441">
        <w:t>R</w:t>
      </w:r>
      <w:r w:rsidR="00026052">
        <w:t>eact</w:t>
      </w:r>
      <w:proofErr w:type="spellEnd"/>
      <w:r w:rsidRPr="006E0441">
        <w:t>-EU skušal premostiti vrzel med odzivom na krizne razmere, ki ga ponuja CRII, in dolgoročnim zelenim, digitalnim in prožnim okrevanjem, kot ga podpira kohezijska politika 2021 -</w:t>
      </w:r>
      <w:r w:rsidR="00026052">
        <w:t>20</w:t>
      </w:r>
      <w:r w:rsidRPr="006E0441">
        <w:t>27. Osredotočil se bo na krepitev odpornosti zdravstvenih sistemov, ohranjanje in ustvarjanje delovnih mest, zlasti za mlade, podporo najrevnejšim v naši družbi ter zagotavljanje obratnega kapitala in naložbene podpore za mala in srednje velika podjetja, obenem pa bo postavil za prihodnost zanesljive temelje za digitalne in zelene prehode ter trajnostni socialno-ekonomski razvoj.«</w:t>
      </w:r>
    </w:p>
    <w:p w:rsidR="007311E1" w:rsidRPr="006E0441" w:rsidRDefault="007311E1" w:rsidP="007311E1">
      <w:pPr>
        <w:jc w:val="both"/>
      </w:pPr>
      <w:r w:rsidRPr="006E0441">
        <w:t xml:space="preserve">Tem usmeritvam in pobudam sledimo s spremembo OP 14-20. Sledimo tudi njunemu pozivu  o hitrem sprejetju predloga </w:t>
      </w:r>
      <w:proofErr w:type="spellStart"/>
      <w:r w:rsidRPr="006E0441">
        <w:t>R</w:t>
      </w:r>
      <w:r w:rsidR="00026052">
        <w:t>eact</w:t>
      </w:r>
      <w:proofErr w:type="spellEnd"/>
      <w:r w:rsidRPr="006E0441">
        <w:t xml:space="preserve">-EU, kot tudi zakonodajnega okvirja za obdobje 2021-2027. </w:t>
      </w:r>
    </w:p>
    <w:p w:rsidR="00677931" w:rsidRPr="006E0441" w:rsidRDefault="007311E1" w:rsidP="00677931">
      <w:pPr>
        <w:jc w:val="both"/>
        <w:rPr>
          <w:szCs w:val="20"/>
        </w:rPr>
      </w:pPr>
      <w:r w:rsidRPr="006E0441">
        <w:rPr>
          <w:szCs w:val="20"/>
        </w:rPr>
        <w:t>P</w:t>
      </w:r>
      <w:r w:rsidR="00677931" w:rsidRPr="006E0441">
        <w:rPr>
          <w:szCs w:val="20"/>
        </w:rPr>
        <w:t>red predstavitvijo obeh vsebinskih predlogov sklopov predlaganih sprememb OP je v naslednjih poglavjih najprej predstavljen vpliv epidemije COVID-19 v Sloveniji in stanje izvajanja OP</w:t>
      </w:r>
      <w:r w:rsidRPr="006E0441">
        <w:rPr>
          <w:szCs w:val="20"/>
        </w:rPr>
        <w:t xml:space="preserve"> ter že </w:t>
      </w:r>
      <w:r w:rsidR="006E0441" w:rsidRPr="006E0441">
        <w:rPr>
          <w:szCs w:val="20"/>
        </w:rPr>
        <w:t>izvedeni</w:t>
      </w:r>
      <w:r w:rsidRPr="006E0441">
        <w:rPr>
          <w:szCs w:val="20"/>
        </w:rPr>
        <w:t xml:space="preserve"> ukrepi</w:t>
      </w:r>
      <w:r w:rsidR="00677931" w:rsidRPr="006E0441">
        <w:rPr>
          <w:szCs w:val="20"/>
        </w:rPr>
        <w:t xml:space="preserve"> za blažitev epidemije COVID-19 s sredstvi OP</w:t>
      </w:r>
      <w:r w:rsidRPr="006E0441">
        <w:rPr>
          <w:szCs w:val="20"/>
        </w:rPr>
        <w:t xml:space="preserve">. Navedeno </w:t>
      </w:r>
      <w:r w:rsidR="00677931" w:rsidRPr="006E0441">
        <w:rPr>
          <w:szCs w:val="20"/>
        </w:rPr>
        <w:t>predstavlja ključen okvir pri razumevanju stanja ter pripravljenega predloga spremembe OP znotraj sredstev evropske kohezijske politike v Sloveniji.</w:t>
      </w:r>
    </w:p>
    <w:p w:rsidR="00F76DB9" w:rsidRPr="006E0441" w:rsidRDefault="00F76DB9">
      <w:pPr>
        <w:rPr>
          <w:b/>
          <w:szCs w:val="20"/>
        </w:rPr>
      </w:pPr>
      <w:r w:rsidRPr="006E0441">
        <w:rPr>
          <w:b/>
          <w:szCs w:val="20"/>
        </w:rPr>
        <w:br w:type="page"/>
      </w:r>
    </w:p>
    <w:p w:rsidR="00652616" w:rsidRPr="006E0441" w:rsidRDefault="00E22539" w:rsidP="0042535A">
      <w:pPr>
        <w:pStyle w:val="Naslov2"/>
      </w:pPr>
      <w:bookmarkStart w:id="2" w:name="_Toc50273544"/>
      <w:r w:rsidRPr="006E0441">
        <w:lastRenderedPageBreak/>
        <w:t xml:space="preserve">1.1 </w:t>
      </w:r>
      <w:r w:rsidR="00652616" w:rsidRPr="006E0441">
        <w:t>V</w:t>
      </w:r>
      <w:r w:rsidR="006042F5" w:rsidRPr="006E0441">
        <w:rPr>
          <w:caps w:val="0"/>
        </w:rPr>
        <w:t xml:space="preserve">pliv epidemije </w:t>
      </w:r>
      <w:r w:rsidR="007311E1" w:rsidRPr="006E0441">
        <w:rPr>
          <w:caps w:val="0"/>
        </w:rPr>
        <w:t xml:space="preserve">COVID-19 </w:t>
      </w:r>
      <w:r w:rsidR="006042F5" w:rsidRPr="006E0441">
        <w:rPr>
          <w:caps w:val="0"/>
        </w:rPr>
        <w:t>v Republiki Sloveniji</w:t>
      </w:r>
      <w:bookmarkEnd w:id="2"/>
    </w:p>
    <w:p w:rsidR="00652616" w:rsidRPr="006E0441" w:rsidRDefault="00652616" w:rsidP="00652616">
      <w:pPr>
        <w:keepNext/>
        <w:keepLines/>
        <w:spacing w:before="120" w:after="0" w:line="240" w:lineRule="auto"/>
        <w:outlineLvl w:val="1"/>
        <w:rPr>
          <w:rFonts w:asciiTheme="majorHAnsi" w:eastAsiaTheme="majorEastAsia" w:hAnsiTheme="majorHAnsi" w:cstheme="majorBidi"/>
          <w:caps/>
          <w:sz w:val="28"/>
          <w:szCs w:val="28"/>
        </w:rPr>
      </w:pPr>
    </w:p>
    <w:p w:rsidR="005C5EAC" w:rsidRPr="006E0441" w:rsidRDefault="00652616">
      <w:pPr>
        <w:rPr>
          <w:szCs w:val="20"/>
        </w:rPr>
      </w:pPr>
      <w:r w:rsidRPr="006E0441">
        <w:rPr>
          <w:szCs w:val="20"/>
        </w:rPr>
        <w:t xml:space="preserve">Spopadanje z epidemijo COVID-19 je močno vplivalo na gospodarsko aktivnost v Republiki Sloveniji in bo imelo tako kratkoročne kot dolgoročne posledice. Ustrezen in hiter odziv na </w:t>
      </w:r>
      <w:r w:rsidR="005C5EAC" w:rsidRPr="006E0441">
        <w:rPr>
          <w:szCs w:val="20"/>
        </w:rPr>
        <w:t>posledice</w:t>
      </w:r>
      <w:r w:rsidRPr="006E0441">
        <w:rPr>
          <w:szCs w:val="20"/>
        </w:rPr>
        <w:t xml:space="preserve"> epidemije pa je ključen pri blaženju</w:t>
      </w:r>
      <w:r w:rsidR="005C5EAC" w:rsidRPr="006E0441">
        <w:rPr>
          <w:szCs w:val="20"/>
        </w:rPr>
        <w:t xml:space="preserve"> posledic krize za državljane. </w:t>
      </w:r>
    </w:p>
    <w:p w:rsidR="00126467" w:rsidRPr="006E0441" w:rsidRDefault="005C5EAC" w:rsidP="00126467">
      <w:pPr>
        <w:jc w:val="both"/>
        <w:rPr>
          <w:szCs w:val="20"/>
        </w:rPr>
      </w:pPr>
      <w:r w:rsidRPr="006E0441">
        <w:rPr>
          <w:szCs w:val="20"/>
        </w:rPr>
        <w:t>Kazalniki gospodarske aktivnosti</w:t>
      </w:r>
      <w:r w:rsidRPr="006E0441">
        <w:rPr>
          <w:rStyle w:val="Sprotnaopomba-sklic"/>
          <w:szCs w:val="20"/>
        </w:rPr>
        <w:footnoteReference w:id="1"/>
      </w:r>
      <w:r w:rsidRPr="006E0441">
        <w:rPr>
          <w:szCs w:val="20"/>
        </w:rPr>
        <w:t xml:space="preserve"> v Sloveniji so bili maja in junija precej nižji kot v enakem obdobju lani, gospodarska klima </w:t>
      </w:r>
      <w:r w:rsidR="00126467" w:rsidRPr="006E0441">
        <w:rPr>
          <w:szCs w:val="20"/>
        </w:rPr>
        <w:t xml:space="preserve">je ostala do koca junija 2020 </w:t>
      </w:r>
      <w:r w:rsidRPr="006E0441">
        <w:rPr>
          <w:szCs w:val="20"/>
        </w:rPr>
        <w:t>znatno pod ravnjo z začetka leta. V aprilu so sicer najgloblji upad aktivnosti zabel</w:t>
      </w:r>
      <w:r w:rsidR="00126467" w:rsidRPr="006E0441">
        <w:rPr>
          <w:szCs w:val="20"/>
        </w:rPr>
        <w:t>ežili v storitvenih dejavnostih,</w:t>
      </w:r>
      <w:r w:rsidRPr="006E0441">
        <w:rPr>
          <w:szCs w:val="20"/>
        </w:rPr>
        <w:t xml:space="preserve"> zaradi prepovedi opravljanja večine storitev so bile te še posebej močno prizadete, med njimi najbolj gostinstvo</w:t>
      </w:r>
      <w:r w:rsidR="00654406" w:rsidRPr="006E0441">
        <w:rPr>
          <w:szCs w:val="20"/>
        </w:rPr>
        <w:t xml:space="preserve">, </w:t>
      </w:r>
      <w:r w:rsidR="00654406" w:rsidRPr="006E0441">
        <w:t>rekreacijske, športne, kulturne in osebne storitve, v storitvah hotelskih nastanitev in v prometu.</w:t>
      </w:r>
      <w:r w:rsidRPr="006E0441">
        <w:rPr>
          <w:szCs w:val="20"/>
        </w:rPr>
        <w:t xml:space="preserve"> </w:t>
      </w:r>
    </w:p>
    <w:p w:rsidR="00126467" w:rsidRPr="006E0441" w:rsidRDefault="008246B9" w:rsidP="00126467">
      <w:pPr>
        <w:jc w:val="both"/>
        <w:rPr>
          <w:szCs w:val="20"/>
        </w:rPr>
      </w:pPr>
      <w:r w:rsidRPr="006E0441">
        <w:t>Na Uradu RS za makroekonomske analize in razvoj (UMAR) ocenjujejo, da so se r</w:t>
      </w:r>
      <w:r w:rsidR="00A123D2" w:rsidRPr="006E0441">
        <w:rPr>
          <w:szCs w:val="20"/>
        </w:rPr>
        <w:t xml:space="preserve">azmere na trgu dela </w:t>
      </w:r>
      <w:r w:rsidR="005C5EAC" w:rsidRPr="006E0441">
        <w:rPr>
          <w:szCs w:val="20"/>
        </w:rPr>
        <w:t>ob izrazitem upadu gospodar</w:t>
      </w:r>
      <w:r w:rsidR="00126467" w:rsidRPr="006E0441">
        <w:rPr>
          <w:szCs w:val="20"/>
        </w:rPr>
        <w:t>ske aktivnosti močno poslabšale,</w:t>
      </w:r>
      <w:r w:rsidR="005C5EAC" w:rsidRPr="006E0441">
        <w:rPr>
          <w:szCs w:val="20"/>
        </w:rPr>
        <w:t xml:space="preserve"> z okoli 10-odstotnim zmanjšanjem </w:t>
      </w:r>
      <w:r w:rsidR="00126467" w:rsidRPr="006E0441">
        <w:rPr>
          <w:szCs w:val="20"/>
        </w:rPr>
        <w:t xml:space="preserve">izstopajo </w:t>
      </w:r>
      <w:r w:rsidR="005C5EAC" w:rsidRPr="006E0441">
        <w:rPr>
          <w:szCs w:val="20"/>
        </w:rPr>
        <w:t>gostinstvo in</w:t>
      </w:r>
      <w:r w:rsidR="00126467" w:rsidRPr="006E0441">
        <w:rPr>
          <w:szCs w:val="20"/>
        </w:rPr>
        <w:t xml:space="preserve"> druge</w:t>
      </w:r>
      <w:r w:rsidR="007311E1" w:rsidRPr="006E0441">
        <w:rPr>
          <w:szCs w:val="20"/>
        </w:rPr>
        <w:t xml:space="preserve"> primerljive</w:t>
      </w:r>
      <w:r w:rsidR="00126467" w:rsidRPr="006E0441">
        <w:rPr>
          <w:szCs w:val="20"/>
        </w:rPr>
        <w:t xml:space="preserve"> dejavnosti. K</w:t>
      </w:r>
      <w:r w:rsidR="005C5EAC" w:rsidRPr="006E0441">
        <w:rPr>
          <w:szCs w:val="20"/>
        </w:rPr>
        <w:t>onec junija je bilo število registriranih brezposelnih 89.377, kar je 26,3 % več kot lani</w:t>
      </w:r>
      <w:r w:rsidR="00126467" w:rsidRPr="006E0441">
        <w:rPr>
          <w:szCs w:val="20"/>
        </w:rPr>
        <w:t>.</w:t>
      </w:r>
    </w:p>
    <w:p w:rsidR="00126467" w:rsidRPr="006E0441" w:rsidRDefault="00126467" w:rsidP="00126467">
      <w:pPr>
        <w:jc w:val="both"/>
        <w:rPr>
          <w:rFonts w:asciiTheme="majorHAnsi" w:eastAsiaTheme="majorEastAsia" w:hAnsiTheme="majorHAnsi" w:cstheme="majorBidi"/>
          <w:sz w:val="28"/>
          <w:szCs w:val="28"/>
        </w:rPr>
      </w:pPr>
      <w:r w:rsidRPr="006E0441">
        <w:rPr>
          <w:szCs w:val="20"/>
        </w:rPr>
        <w:t>J</w:t>
      </w:r>
      <w:r w:rsidR="005C5EAC" w:rsidRPr="006E0441">
        <w:rPr>
          <w:szCs w:val="20"/>
        </w:rPr>
        <w:t xml:space="preserve">avnofinančne razmere so se zaradi globokega upada gospodarske aktivnosti in obsežnih ukrepov za blaženje posledic epidemije do maja izrazito poslabšale. </w:t>
      </w:r>
      <w:r w:rsidRPr="006E0441">
        <w:rPr>
          <w:szCs w:val="20"/>
        </w:rPr>
        <w:t>Prihodkov je bilo v prvih petih mesecih medletno manj za 9,2 %, na znižanje pa je vplivalo več dejavnikov: nižja gospodarska aktivnost, odobreni odlogi, obročno odplačevanje in oprostitev davčnih obveznosti, ki jih je omogočila interventna zakonodaja v času epidemije, ter lani sprejeta davčna reforma, ki znižuje prihodke iz dohodnine. Odhodki so se povečali za 11,4 %, predvsem zaradi izplačil ukrepov za blaženje posledic epidemije ranljivim skupinam, ki so okrepila zlasti rast transferjev posameznikom in gospodinjstvom, subvencije ter transferje za nakup zaščitne opreme. Vse to zmanjšuje manevrski prostor Vladi Republike Slovenije za morebitne dodatne ukrepe, ki bodo zagotovo potrebni.</w:t>
      </w:r>
      <w:r w:rsidRPr="006E0441">
        <w:rPr>
          <w:rFonts w:asciiTheme="majorHAnsi" w:eastAsiaTheme="majorEastAsia" w:hAnsiTheme="majorHAnsi" w:cstheme="majorBidi"/>
          <w:sz w:val="28"/>
          <w:szCs w:val="28"/>
        </w:rPr>
        <w:t xml:space="preserve"> </w:t>
      </w:r>
    </w:p>
    <w:p w:rsidR="00126467" w:rsidRPr="006E0441" w:rsidRDefault="005E1236" w:rsidP="00126467">
      <w:pPr>
        <w:jc w:val="both"/>
        <w:rPr>
          <w:b/>
        </w:rPr>
      </w:pPr>
      <w:r w:rsidRPr="006E0441">
        <w:rPr>
          <w:b/>
        </w:rPr>
        <w:t>Tabela</w:t>
      </w:r>
      <w:r w:rsidR="00C21894" w:rsidRPr="006E0441">
        <w:rPr>
          <w:b/>
        </w:rPr>
        <w:t xml:space="preserve"> 1</w:t>
      </w:r>
      <w:r w:rsidRPr="006E0441">
        <w:rPr>
          <w:b/>
        </w:rPr>
        <w:t xml:space="preserve">: </w:t>
      </w:r>
      <w:r w:rsidR="00A50205" w:rsidRPr="006E0441">
        <w:rPr>
          <w:b/>
        </w:rPr>
        <w:t>M</w:t>
      </w:r>
      <w:r w:rsidRPr="006E0441">
        <w:rPr>
          <w:b/>
        </w:rPr>
        <w:t>esečni kazalniki gospodarske aktivnosti v Sloveniji:</w:t>
      </w:r>
    </w:p>
    <w:p w:rsidR="005E1236" w:rsidRPr="006E0441" w:rsidRDefault="005E1236" w:rsidP="00126467">
      <w:pPr>
        <w:jc w:val="both"/>
      </w:pPr>
      <w:r w:rsidRPr="006E0441">
        <w:rPr>
          <w:noProof/>
          <w:lang w:eastAsia="sl-SI"/>
        </w:rPr>
        <w:drawing>
          <wp:inline distT="0" distB="0" distL="0" distR="0" wp14:anchorId="5570E5FA" wp14:editId="673396DD">
            <wp:extent cx="5760720" cy="2359025"/>
            <wp:effectExtent l="0" t="0" r="0" b="317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2359025"/>
                    </a:xfrm>
                    <a:prstGeom prst="rect">
                      <a:avLst/>
                    </a:prstGeom>
                  </pic:spPr>
                </pic:pic>
              </a:graphicData>
            </a:graphic>
          </wp:inline>
        </w:drawing>
      </w:r>
    </w:p>
    <w:p w:rsidR="00740700" w:rsidRPr="006E0441" w:rsidRDefault="009D5900" w:rsidP="009D5900">
      <w:pPr>
        <w:jc w:val="both"/>
      </w:pPr>
      <w:r w:rsidRPr="006E0441">
        <w:t>Glede na analizo Urada za makroekonomske analize in razvoj</w:t>
      </w:r>
      <w:r w:rsidRPr="006E0441">
        <w:rPr>
          <w:rStyle w:val="Sprotnaopomba-sklic"/>
        </w:rPr>
        <w:footnoteReference w:id="2"/>
      </w:r>
      <w:r w:rsidRPr="006E0441">
        <w:t xml:space="preserve"> v povezavi z učinki COVID-19 epidemije so se življenja </w:t>
      </w:r>
      <w:r w:rsidR="007311E1" w:rsidRPr="006E0441">
        <w:t>ljudi v Sloveniji zaradi COVID 19 zelo spremenil</w:t>
      </w:r>
      <w:r w:rsidR="00312B80" w:rsidRPr="006E0441">
        <w:t>a</w:t>
      </w:r>
      <w:r w:rsidRPr="006E0441">
        <w:t xml:space="preserve">. To še posebej velja za določene skupine prebivalstva, </w:t>
      </w:r>
      <w:r w:rsidR="00740700" w:rsidRPr="006E0441">
        <w:t>predvsem tiste, ki potrebujejo zdravstveno oskrbo i</w:t>
      </w:r>
      <w:r w:rsidR="00312B80" w:rsidRPr="006E0441">
        <w:t>n</w:t>
      </w:r>
      <w:r w:rsidR="00740700" w:rsidRPr="006E0441">
        <w:t xml:space="preserve"> oskrbo v domovih za starejše, saj so se </w:t>
      </w:r>
      <w:r w:rsidR="00740700" w:rsidRPr="006E0441">
        <w:lastRenderedPageBreak/>
        <w:t xml:space="preserve">čakalne dobe na </w:t>
      </w:r>
      <w:r w:rsidR="006E0441" w:rsidRPr="006E0441">
        <w:t>področju</w:t>
      </w:r>
      <w:r w:rsidR="00740700" w:rsidRPr="006E0441">
        <w:t xml:space="preserve"> zdravstva in oskrbe starejših zaradi posledic COVID-19 še podaljšale.  Zaradi pomanjkanja zdravstvenih kapacitet se je poslabšala dostopnost ljudi do zdravstvenih storitev. Podobno se je poslabšal položaj starejših, ki potrebu</w:t>
      </w:r>
      <w:r w:rsidR="00312B80" w:rsidRPr="006E0441">
        <w:t>j</w:t>
      </w:r>
      <w:r w:rsidR="00740700" w:rsidRPr="006E0441">
        <w:t>ejo domsko oskrbo, saj S</w:t>
      </w:r>
      <w:r w:rsidR="00312B80" w:rsidRPr="006E0441">
        <w:t>lovenija</w:t>
      </w:r>
      <w:r w:rsidR="00740700" w:rsidRPr="006E0441">
        <w:t xml:space="preserve"> beleži primanjkljaj 10.000 postelj v domovih za starejše.</w:t>
      </w:r>
    </w:p>
    <w:p w:rsidR="008246B9" w:rsidRPr="006E0441" w:rsidRDefault="008246B9" w:rsidP="008246B9">
      <w:pPr>
        <w:jc w:val="both"/>
      </w:pPr>
      <w:r w:rsidRPr="006E0441">
        <w:t>UMAR tako v poletni napoved gospodarskih gibanj 2020 z 24.</w:t>
      </w:r>
      <w:r w:rsidR="00A123D2" w:rsidRPr="006E0441">
        <w:t xml:space="preserve"> </w:t>
      </w:r>
      <w:r w:rsidRPr="006E0441">
        <w:t>6.</w:t>
      </w:r>
      <w:r w:rsidR="00A123D2" w:rsidRPr="006E0441">
        <w:t xml:space="preserve"> </w:t>
      </w:r>
      <w:r w:rsidRPr="006E0441">
        <w:t xml:space="preserve">2020 ugotavlja, da </w:t>
      </w:r>
      <w:proofErr w:type="spellStart"/>
      <w:r w:rsidRPr="006E0441">
        <w:t>koronavirus</w:t>
      </w:r>
      <w:proofErr w:type="spellEnd"/>
      <w:r w:rsidRPr="006E0441">
        <w:t xml:space="preserve"> v kombinaciji s strogimi zdravstvenimi in zaščitnimi ukrepi pomeni velik negativen šok za gospodarsko aktivnost, ki se bo letos močno skrčila. Globina padca BDP in dinamika okrevanja (bo)sta ključno odvisni od epidemioloških razmer ter obsega in vsebine ukrepov ekonomskih politik. V osrednjem scenariju poletne napovedi UMAR za letos predvideva 7,6-odstotni upad BDP in 4,5-odstotno rast leta 2021. V večini dejavnosti raven pred izbruhom epidemije tudi prihodnje leto še ne bo dosežena. Ob prisotnosti virusa in ohranjanju nekaterih omejitvenih ukrepov bo okrevanje potekalo postopno in diferencirano po posameznih dejavnostih. Negotovost in tveganja za še večji letošnji upad BDP, povezana z morebitnimi ponovitvami večjih izbruhov epidemije, ostajajo visoka. Ponovna uvedba strogih ukrepov za omejitev širjenja </w:t>
      </w:r>
      <w:proofErr w:type="spellStart"/>
      <w:r w:rsidRPr="006E0441">
        <w:t>koronavirusa</w:t>
      </w:r>
      <w:proofErr w:type="spellEnd"/>
      <w:r w:rsidRPr="006E0441">
        <w:t xml:space="preserve"> bi lahko privedla do globljega padca BDP.</w:t>
      </w:r>
    </w:p>
    <w:p w:rsidR="006532BB" w:rsidRPr="006E0441" w:rsidRDefault="00126467" w:rsidP="004C0C23">
      <w:pPr>
        <w:jc w:val="both"/>
      </w:pPr>
      <w:r w:rsidRPr="006E0441">
        <w:t xml:space="preserve">Glede </w:t>
      </w:r>
      <w:r w:rsidR="00A123D2" w:rsidRPr="006E0441">
        <w:t xml:space="preserve">na </w:t>
      </w:r>
      <w:r w:rsidR="009D5900" w:rsidRPr="006E0441">
        <w:t>zgoraj navedeno in hkrati tudi na</w:t>
      </w:r>
      <w:r w:rsidRPr="006E0441">
        <w:t xml:space="preserve"> bistveno bolj zaostreno javnofinančno sliko je Vlada RS prisiljena k bolj rigoroznemu postavljanju prioritet. Glede na omejene javne finančne vire to pomeni, da se je potrebno osredotočiti na izvedbo tistih programov, ki na dolgi rok prinašajo največjo možno dodano vrednost in prispevajo k </w:t>
      </w:r>
      <w:r w:rsidR="00740700" w:rsidRPr="006E0441">
        <w:t xml:space="preserve">ohranitvi in </w:t>
      </w:r>
      <w:r w:rsidR="006E0441" w:rsidRPr="006E0441">
        <w:t>ustvarjanju novih</w:t>
      </w:r>
      <w:r w:rsidR="00740700" w:rsidRPr="006E0441">
        <w:t xml:space="preserve"> </w:t>
      </w:r>
      <w:r w:rsidRPr="006E0441">
        <w:t xml:space="preserve"> delovnih mest</w:t>
      </w:r>
      <w:r w:rsidR="00740700" w:rsidRPr="006E0441">
        <w:t xml:space="preserve"> predvsem za mlade</w:t>
      </w:r>
      <w:r w:rsidR="009D5900" w:rsidRPr="006E0441">
        <w:t xml:space="preserve">, </w:t>
      </w:r>
      <w:r w:rsidR="000B6B50" w:rsidRPr="006E0441">
        <w:t>hkrati</w:t>
      </w:r>
      <w:r w:rsidR="009D5900" w:rsidRPr="006E0441">
        <w:t xml:space="preserve"> pa učinkovito blažijo učinke krize COVID-19</w:t>
      </w:r>
      <w:r w:rsidRPr="006E0441">
        <w:t xml:space="preserve">. </w:t>
      </w:r>
      <w:r w:rsidR="00A123D2" w:rsidRPr="006E0441">
        <w:t>Pri tem je potrebno najti</w:t>
      </w:r>
      <w:r w:rsidR="009D5900" w:rsidRPr="006E0441">
        <w:t xml:space="preserve"> ustrezno ravnovesje med kratkoročnimi in dolgoročnimi </w:t>
      </w:r>
      <w:r w:rsidR="000B6B50" w:rsidRPr="006E0441">
        <w:t>ukrepi in učinki</w:t>
      </w:r>
      <w:r w:rsidR="009D5900" w:rsidRPr="006E0441">
        <w:t xml:space="preserve">. </w:t>
      </w:r>
      <w:r w:rsidRPr="006E0441">
        <w:t>To velja tudi pri porabi doda</w:t>
      </w:r>
      <w:r w:rsidR="00740700" w:rsidRPr="006E0441">
        <w:t>t</w:t>
      </w:r>
      <w:r w:rsidRPr="006E0441">
        <w:t>nih sredstev iz naslova EU. Samo na ta način bo namreč Slovenija lahko izboljšala ali vsaj ohranila stopnjo blaginje, ki jo pričakujejo njeni prebivalci, ob tem pa je seveda treba imeti pred očmi tudi pozitivne kratkoročne vplive na pogoje gospodarjenj</w:t>
      </w:r>
      <w:r w:rsidR="005E1236" w:rsidRPr="006E0441">
        <w:t xml:space="preserve">a podjetniškega sektorja, kot tudi na </w:t>
      </w:r>
      <w:r w:rsidR="009F5970" w:rsidRPr="006E0441">
        <w:t>dolgoročno</w:t>
      </w:r>
      <w:r w:rsidR="005E1236" w:rsidRPr="006E0441">
        <w:t xml:space="preserve"> ureditev področja, ki bo </w:t>
      </w:r>
      <w:r w:rsidR="009D5900" w:rsidRPr="006E0441">
        <w:t xml:space="preserve">Republiko </w:t>
      </w:r>
      <w:r w:rsidR="005E1236" w:rsidRPr="006E0441">
        <w:t>Slovenijo bolj pripravila na tovrstne krize.</w:t>
      </w:r>
      <w:r w:rsidR="000B6B50" w:rsidRPr="006E0441">
        <w:t xml:space="preserve"> Konkretno, kar se tiče </w:t>
      </w:r>
      <w:proofErr w:type="spellStart"/>
      <w:r w:rsidR="000B6B50" w:rsidRPr="006E0441">
        <w:t>React</w:t>
      </w:r>
      <w:proofErr w:type="spellEnd"/>
      <w:r w:rsidR="000B6B50" w:rsidRPr="006E0441">
        <w:t xml:space="preserve"> dela dodatnih evropskih sredstev, je potrebno poudariti, da je rok za porabo sredstev tega dela daleč najkrajši, zaradi česar bo realna izvedljivost predlaganih javnih razpisov, projektov in programov poleg vsebinske ustreznosti glavno merilo za sofinanciranje iz evropskih kohezijskih sredstev.</w:t>
      </w:r>
      <w:r w:rsidR="005E1236" w:rsidRPr="006E0441">
        <w:t xml:space="preserve"> </w:t>
      </w:r>
    </w:p>
    <w:p w:rsidR="00C47F28" w:rsidRPr="006E0441" w:rsidRDefault="00C47F28" w:rsidP="004C0C23">
      <w:pPr>
        <w:jc w:val="both"/>
      </w:pPr>
      <w:r w:rsidRPr="006E0441">
        <w:t>Ob tem je potrebno dodati, da je e</w:t>
      </w:r>
      <w:r w:rsidR="005B0F3B" w:rsidRPr="006E0441">
        <w:t>pidemija nadpovprečno prizadela starejše, še zlasti populacijo, ki prebiva v domovih za starejše osebe (v prvem valu epidemije odstotek starejših umrlih, ki so prebivali v DSO, znašal po podatkih NIJZ blizu 80% med vsemi umrlimi). Zato je</w:t>
      </w:r>
      <w:r w:rsidR="00026052">
        <w:t xml:space="preserve"> znaten</w:t>
      </w:r>
      <w:r w:rsidR="005B0F3B" w:rsidRPr="006E0441">
        <w:t xml:space="preserve"> del ukrepov iz </w:t>
      </w:r>
      <w:proofErr w:type="spellStart"/>
      <w:r w:rsidR="005B0F3B" w:rsidRPr="006E0441">
        <w:t>React</w:t>
      </w:r>
      <w:proofErr w:type="spellEnd"/>
      <w:r w:rsidR="005B0F3B" w:rsidRPr="006E0441">
        <w:t xml:space="preserve">-EU namenjen naslavljanju navedene problematike. </w:t>
      </w:r>
      <w:r w:rsidRPr="006E0441">
        <w:t xml:space="preserve"> </w:t>
      </w:r>
    </w:p>
    <w:p w:rsidR="00896C26" w:rsidRDefault="00896C26" w:rsidP="00896C26">
      <w:pPr>
        <w:jc w:val="center"/>
      </w:pPr>
      <w:r w:rsidRPr="006E0441">
        <w:rPr>
          <w:noProof/>
          <w:lang w:eastAsia="sl-SI"/>
        </w:rPr>
        <w:drawing>
          <wp:inline distT="0" distB="0" distL="0" distR="0" wp14:anchorId="53ED1847" wp14:editId="49C94A63">
            <wp:extent cx="3864283" cy="2333625"/>
            <wp:effectExtent l="0" t="0" r="3175" b="0"/>
            <wp:docPr id="2" name="Slika 2" descr="https://www.nijz.si/sites/www.nijz.si/files/uploaded/umrli_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ijz.si/sites/www.nijz.si/files/uploaded/umrli_20.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16940" cy="2365424"/>
                    </a:xfrm>
                    <a:prstGeom prst="rect">
                      <a:avLst/>
                    </a:prstGeom>
                    <a:noFill/>
                    <a:ln>
                      <a:noFill/>
                    </a:ln>
                  </pic:spPr>
                </pic:pic>
              </a:graphicData>
            </a:graphic>
          </wp:inline>
        </w:drawing>
      </w:r>
    </w:p>
    <w:p w:rsidR="00896C26" w:rsidRDefault="00896C26" w:rsidP="004C0C23">
      <w:pPr>
        <w:jc w:val="both"/>
      </w:pPr>
    </w:p>
    <w:p w:rsidR="00BE3426" w:rsidRPr="006E0441" w:rsidRDefault="00740700" w:rsidP="004C0C23">
      <w:pPr>
        <w:jc w:val="both"/>
      </w:pPr>
      <w:r w:rsidRPr="006E0441">
        <w:t>V Republiki Sloveniji so bile zadnje kapacitete v domovih za starejše (z eno izjemo) pridobljene v letu 2009. V zadnjih enajstih letih je</w:t>
      </w:r>
      <w:r w:rsidR="00312B80" w:rsidRPr="006E0441">
        <w:t xml:space="preserve"> </w:t>
      </w:r>
      <w:r w:rsidRPr="006E0441">
        <w:t xml:space="preserve">nastal </w:t>
      </w:r>
      <w:r w:rsidR="00312B80" w:rsidRPr="006E0441">
        <w:t xml:space="preserve">velikanski </w:t>
      </w:r>
      <w:r w:rsidRPr="006E0441">
        <w:t xml:space="preserve">primanjkljaj na področju oskrbe starejših, saj na posteljo čaka preko 10.000 starostnikov. Pandemija </w:t>
      </w:r>
      <w:r w:rsidR="00312B80" w:rsidRPr="006E0441">
        <w:t>COVID</w:t>
      </w:r>
      <w:r w:rsidRPr="006E0441">
        <w:t xml:space="preserve">-19 je te razmere še poslabšala, saj sprejem novih upravičencev zaradi epidemije ni bil mogoč, poleg tega pa je bilo potrebno zagotoviti dodatne kapacitete za potrebe karanten. Sprememba OP 14-20, ki v okviru pobude </w:t>
      </w:r>
      <w:proofErr w:type="spellStart"/>
      <w:r w:rsidRPr="006E0441">
        <w:t>React</w:t>
      </w:r>
      <w:proofErr w:type="spellEnd"/>
      <w:r w:rsidRPr="006E0441">
        <w:t>-EU naslavlja to problematiko</w:t>
      </w:r>
      <w:r w:rsidR="00312B80" w:rsidRPr="006E0441">
        <w:t>,</w:t>
      </w:r>
      <w:r w:rsidRPr="006E0441">
        <w:t xml:space="preserve"> pomeni samo majhen kamenček v mozaiku reševanja nastale problematike. </w:t>
      </w:r>
      <w:r w:rsidR="006E0441" w:rsidRPr="006E0441">
        <w:t>Nadaljnji</w:t>
      </w:r>
      <w:r w:rsidRPr="006E0441">
        <w:t xml:space="preserve"> ukrepi bodo sledili v okviru Načrta za okrevanje in odpornost in v okviru VFO 2021-2027. MDDSZ v teh dne</w:t>
      </w:r>
      <w:r w:rsidR="00026052">
        <w:t>h</w:t>
      </w:r>
      <w:r w:rsidRPr="006E0441">
        <w:t xml:space="preserve"> zaključuje razpis za </w:t>
      </w:r>
      <w:r w:rsidR="006E0441" w:rsidRPr="006E0441">
        <w:t>zagotovitev</w:t>
      </w:r>
      <w:r w:rsidRPr="006E0441">
        <w:t xml:space="preserve">  novih 1000 postelj v okviru koncesijskih storitev oskrbe starejših. Vsi ukrepi bodo samo delno ublažili nastali </w:t>
      </w:r>
      <w:r w:rsidR="006E0441" w:rsidRPr="006E0441">
        <w:t>primanjkljaj</w:t>
      </w:r>
      <w:r w:rsidRPr="006E0441">
        <w:t>, zato je zagotovi</w:t>
      </w:r>
      <w:r w:rsidR="00896C26">
        <w:t xml:space="preserve">tev sredstev iz </w:t>
      </w:r>
      <w:proofErr w:type="spellStart"/>
      <w:r w:rsidR="00896C26">
        <w:t>React</w:t>
      </w:r>
      <w:proofErr w:type="spellEnd"/>
      <w:r w:rsidR="00896C26">
        <w:t>-EU nujna.</w:t>
      </w:r>
    </w:p>
    <w:p w:rsidR="00654406" w:rsidRPr="006E0441" w:rsidRDefault="00654406" w:rsidP="004C0C23">
      <w:pPr>
        <w:jc w:val="both"/>
      </w:pPr>
    </w:p>
    <w:p w:rsidR="00AD22D9" w:rsidRPr="006E0441" w:rsidRDefault="00E22539" w:rsidP="00AD22D9">
      <w:pPr>
        <w:pStyle w:val="Naslov2"/>
        <w:rPr>
          <w:caps w:val="0"/>
        </w:rPr>
      </w:pPr>
      <w:bookmarkStart w:id="3" w:name="_Toc50273545"/>
      <w:r w:rsidRPr="006E0441">
        <w:rPr>
          <w:caps w:val="0"/>
        </w:rPr>
        <w:t xml:space="preserve">1.2 </w:t>
      </w:r>
      <w:r w:rsidR="006042F5" w:rsidRPr="006E0441">
        <w:rPr>
          <w:caps w:val="0"/>
        </w:rPr>
        <w:t>Izvedeni ukrepi za omilitev posledic covid-19 v okviru OP 14-20</w:t>
      </w:r>
      <w:bookmarkEnd w:id="3"/>
    </w:p>
    <w:p w:rsidR="00AD22D9" w:rsidRPr="006E0441" w:rsidRDefault="00AD22D9" w:rsidP="00AD22D9">
      <w:pPr>
        <w:rPr>
          <w:rFonts w:eastAsia="SimSun" w:cs="Arial"/>
          <w:sz w:val="16"/>
          <w:szCs w:val="16"/>
          <w:lang w:eastAsia="zh-CN"/>
        </w:rPr>
      </w:pPr>
    </w:p>
    <w:p w:rsidR="00AD22D9" w:rsidRPr="006E0441" w:rsidRDefault="00AD22D9" w:rsidP="00AD22D9">
      <w:pPr>
        <w:jc w:val="both"/>
      </w:pPr>
      <w:r w:rsidRPr="006E0441">
        <w:t xml:space="preserve">Pri razumevanju stanja izvajanja OP v je potrebno </w:t>
      </w:r>
      <w:r w:rsidR="00AF09B3" w:rsidRPr="006E0441">
        <w:t xml:space="preserve">vzeti v ozir </w:t>
      </w:r>
      <w:r w:rsidRPr="006E0441">
        <w:t>tudi vse aktivnosti, ki smo</w:t>
      </w:r>
      <w:r w:rsidR="00E501F2" w:rsidRPr="006E0441">
        <w:t xml:space="preserve"> </w:t>
      </w:r>
      <w:r w:rsidRPr="006E0441">
        <w:t>jih izvedli v Sloveniji v povezavi s hitrim odzivom na epidemijo COVID-19, ki je deloma že bila vključena v predlog spremembe OP 5.0</w:t>
      </w:r>
      <w:r w:rsidR="00312B80" w:rsidRPr="006E0441">
        <w:t xml:space="preserve"> v okvir veljavnega OP14-20</w:t>
      </w:r>
      <w:r w:rsidR="00AF09B3" w:rsidRPr="006E0441">
        <w:t xml:space="preserve"> brez dodatnih sredstev</w:t>
      </w:r>
      <w:r w:rsidRPr="006E0441">
        <w:t>.</w:t>
      </w:r>
      <w:r w:rsidR="00B037C7" w:rsidRPr="006E0441">
        <w:t xml:space="preserve"> Ker je bila potrebna hitra reakcija na epidemijo, v okviru sprememb 5.0 niso bile vključene spremembe </w:t>
      </w:r>
      <w:r w:rsidR="00B037C7" w:rsidRPr="006E0441">
        <w:rPr>
          <w:b/>
        </w:rPr>
        <w:t>zaradi identificiranih tveganj v izvajanju OP14-20</w:t>
      </w:r>
      <w:r w:rsidR="00B037C7" w:rsidRPr="006E0441">
        <w:t xml:space="preserve">, kar vključujemo v spremembo OP14-20 6.0. </w:t>
      </w:r>
    </w:p>
    <w:p w:rsidR="00AD22D9" w:rsidRPr="006E0441" w:rsidRDefault="00B037C7" w:rsidP="00AD22D9">
      <w:pPr>
        <w:jc w:val="both"/>
        <w:rPr>
          <w:rFonts w:asciiTheme="majorHAnsi" w:eastAsiaTheme="majorEastAsia" w:hAnsiTheme="majorHAnsi" w:cs="Arial"/>
          <w:b/>
          <w:i/>
          <w:caps/>
          <w:color w:val="000000"/>
          <w:sz w:val="16"/>
          <w:szCs w:val="16"/>
        </w:rPr>
      </w:pPr>
      <w:r w:rsidRPr="006E0441">
        <w:rPr>
          <w:rFonts w:ascii="Calibri" w:hAnsi="Calibri" w:cs="Calibri"/>
        </w:rPr>
        <w:t>V skladu s Sklepi Sveta EU z julija 2020 so bila Sloveniji dodeljena</w:t>
      </w:r>
      <w:r w:rsidR="00AD22D9" w:rsidRPr="006E0441">
        <w:rPr>
          <w:rFonts w:ascii="Calibri" w:hAnsi="Calibri" w:cs="Calibri"/>
          <w:b/>
        </w:rPr>
        <w:t xml:space="preserve"> dodat</w:t>
      </w:r>
      <w:r w:rsidRPr="006E0441">
        <w:rPr>
          <w:rFonts w:ascii="Calibri" w:hAnsi="Calibri" w:cs="Calibri"/>
          <w:b/>
        </w:rPr>
        <w:t>na</w:t>
      </w:r>
      <w:r w:rsidR="001B326D" w:rsidRPr="006E0441">
        <w:rPr>
          <w:rFonts w:ascii="Calibri" w:hAnsi="Calibri" w:cs="Calibri"/>
          <w:b/>
        </w:rPr>
        <w:t xml:space="preserve"> sredstv</w:t>
      </w:r>
      <w:r w:rsidRPr="006E0441">
        <w:rPr>
          <w:rFonts w:ascii="Calibri" w:hAnsi="Calibri" w:cs="Calibri"/>
          <w:b/>
        </w:rPr>
        <w:t>a</w:t>
      </w:r>
      <w:r w:rsidR="00896C26">
        <w:rPr>
          <w:rFonts w:ascii="Calibri" w:hAnsi="Calibri" w:cs="Calibri"/>
          <w:b/>
        </w:rPr>
        <w:t xml:space="preserve"> </w:t>
      </w:r>
      <w:proofErr w:type="spellStart"/>
      <w:r w:rsidR="001B326D" w:rsidRPr="006E0441">
        <w:rPr>
          <w:rFonts w:ascii="Calibri" w:hAnsi="Calibri" w:cs="Calibri"/>
          <w:b/>
        </w:rPr>
        <w:t>R</w:t>
      </w:r>
      <w:r w:rsidR="00896C26">
        <w:rPr>
          <w:rFonts w:ascii="Calibri" w:hAnsi="Calibri" w:cs="Calibri"/>
          <w:b/>
        </w:rPr>
        <w:t>eact</w:t>
      </w:r>
      <w:proofErr w:type="spellEnd"/>
      <w:r w:rsidR="00896C26">
        <w:rPr>
          <w:rFonts w:ascii="Calibri" w:hAnsi="Calibri" w:cs="Calibri"/>
          <w:b/>
        </w:rPr>
        <w:t>-EU</w:t>
      </w:r>
      <w:r w:rsidR="001B326D" w:rsidRPr="006E0441">
        <w:rPr>
          <w:rFonts w:ascii="Calibri" w:hAnsi="Calibri" w:cs="Calibri"/>
          <w:b/>
        </w:rPr>
        <w:t>, ki se v okviru spremembe OP 14-20 načrtuje</w:t>
      </w:r>
      <w:r w:rsidRPr="006E0441">
        <w:rPr>
          <w:rFonts w:ascii="Calibri" w:hAnsi="Calibri" w:cs="Calibri"/>
          <w:b/>
        </w:rPr>
        <w:t>jo</w:t>
      </w:r>
      <w:r w:rsidR="001B326D" w:rsidRPr="006E0441">
        <w:rPr>
          <w:rFonts w:ascii="Calibri" w:hAnsi="Calibri" w:cs="Calibri"/>
          <w:b/>
        </w:rPr>
        <w:t xml:space="preserve"> v novi, ločeni 15. prednostni osi</w:t>
      </w:r>
      <w:r w:rsidR="00896C26">
        <w:rPr>
          <w:rFonts w:ascii="Calibri" w:hAnsi="Calibri" w:cs="Calibri"/>
          <w:b/>
        </w:rPr>
        <w:t>.</w:t>
      </w:r>
      <w:r w:rsidRPr="006E0441">
        <w:rPr>
          <w:rFonts w:ascii="Calibri" w:hAnsi="Calibri" w:cs="Calibri"/>
          <w:b/>
        </w:rPr>
        <w:t xml:space="preserve"> </w:t>
      </w:r>
      <w:r w:rsidR="00896C26">
        <w:rPr>
          <w:rFonts w:ascii="Calibri" w:hAnsi="Calibri" w:cs="Calibri"/>
        </w:rPr>
        <w:t>G</w:t>
      </w:r>
      <w:r w:rsidRPr="006E0441">
        <w:rPr>
          <w:rFonts w:ascii="Calibri" w:hAnsi="Calibri" w:cs="Calibri"/>
        </w:rPr>
        <w:t xml:space="preserve">re za sredstva, ki naslavljajo najbolj pereč kratkoročni izziv po epidemiji (aktivnosti, povezane z </w:t>
      </w:r>
      <w:r w:rsidR="00DD30BF" w:rsidRPr="006E0441">
        <w:rPr>
          <w:rFonts w:ascii="Calibri" w:hAnsi="Calibri" w:cs="Calibri"/>
        </w:rPr>
        <w:t xml:space="preserve">socialnim </w:t>
      </w:r>
      <w:r w:rsidRPr="006E0441">
        <w:rPr>
          <w:rFonts w:ascii="Calibri" w:hAnsi="Calibri" w:cs="Calibri"/>
        </w:rPr>
        <w:t>varstvom</w:t>
      </w:r>
      <w:r w:rsidR="00312B80" w:rsidRPr="006E0441">
        <w:rPr>
          <w:rFonts w:ascii="Calibri" w:hAnsi="Calibri" w:cs="Calibri"/>
        </w:rPr>
        <w:t>, krepitve kapacitet oskrbe starejših</w:t>
      </w:r>
      <w:r w:rsidRPr="006E0441">
        <w:rPr>
          <w:rFonts w:ascii="Calibri" w:hAnsi="Calibri" w:cs="Calibri"/>
        </w:rPr>
        <w:t>),</w:t>
      </w:r>
      <w:r w:rsidR="00072F1B" w:rsidRPr="006E0441">
        <w:rPr>
          <w:rFonts w:ascii="Calibri" w:hAnsi="Calibri" w:cs="Calibri"/>
        </w:rPr>
        <w:t xml:space="preserve"> najbolj prizadet</w:t>
      </w:r>
      <w:r w:rsidR="00896C26">
        <w:rPr>
          <w:rFonts w:ascii="Calibri" w:hAnsi="Calibri" w:cs="Calibri"/>
        </w:rPr>
        <w:t>e</w:t>
      </w:r>
      <w:r w:rsidR="00072F1B" w:rsidRPr="006E0441">
        <w:rPr>
          <w:rFonts w:ascii="Calibri" w:hAnsi="Calibri" w:cs="Calibri"/>
        </w:rPr>
        <w:t xml:space="preserve"> sektor</w:t>
      </w:r>
      <w:r w:rsidR="00896C26">
        <w:rPr>
          <w:rFonts w:ascii="Calibri" w:hAnsi="Calibri" w:cs="Calibri"/>
        </w:rPr>
        <w:t>je</w:t>
      </w:r>
      <w:r w:rsidR="00072F1B" w:rsidRPr="006E0441">
        <w:rPr>
          <w:rFonts w:ascii="Calibri" w:hAnsi="Calibri" w:cs="Calibri"/>
        </w:rPr>
        <w:t xml:space="preserve"> (zdravstvo</w:t>
      </w:r>
      <w:r w:rsidR="00654406" w:rsidRPr="006E0441">
        <w:rPr>
          <w:rFonts w:ascii="Calibri" w:hAnsi="Calibri" w:cs="Calibri"/>
        </w:rPr>
        <w:t>, promet</w:t>
      </w:r>
      <w:r w:rsidR="00072F1B" w:rsidRPr="006E0441">
        <w:rPr>
          <w:rFonts w:ascii="Calibri" w:hAnsi="Calibri" w:cs="Calibri"/>
        </w:rPr>
        <w:t>) ter hkrati ohranjajo zaposlitve, omogočajo</w:t>
      </w:r>
      <w:r w:rsidR="00312B80" w:rsidRPr="006E0441">
        <w:rPr>
          <w:rFonts w:ascii="Calibri" w:hAnsi="Calibri" w:cs="Calibri"/>
        </w:rPr>
        <w:t xml:space="preserve"> nova delovna mesta in </w:t>
      </w:r>
      <w:r w:rsidR="00072F1B" w:rsidRPr="006E0441">
        <w:rPr>
          <w:rFonts w:ascii="Calibri" w:hAnsi="Calibri" w:cs="Calibri"/>
        </w:rPr>
        <w:t xml:space="preserve"> nadaljnjo digitalizacijo (tako podjetij kot vzgojno-izobraževalnih zavodov) in spodbujajo raziskave in razvoj</w:t>
      </w:r>
      <w:r w:rsidR="00DD30BF" w:rsidRPr="006E0441">
        <w:rPr>
          <w:rFonts w:ascii="Calibri" w:hAnsi="Calibri" w:cs="Calibri"/>
        </w:rPr>
        <w:t xml:space="preserve">, ki pa bodo skupaj z zelenim prehodom bolj intenzivno podprte v ostalih, bolj srednjeročnih mehanizmih financiranja (RRF, VFO21-27). </w:t>
      </w:r>
      <w:r w:rsidR="00072F1B" w:rsidRPr="006E0441">
        <w:rPr>
          <w:rFonts w:asciiTheme="majorHAnsi" w:eastAsiaTheme="majorEastAsia" w:hAnsiTheme="majorHAnsi" w:cs="Arial"/>
          <w:b/>
          <w:i/>
          <w:caps/>
          <w:color w:val="000000"/>
          <w:sz w:val="16"/>
          <w:szCs w:val="16"/>
        </w:rPr>
        <w:t xml:space="preserve"> </w:t>
      </w:r>
    </w:p>
    <w:p w:rsidR="00AB4091" w:rsidRPr="006E0441" w:rsidRDefault="00AB4091" w:rsidP="00274D4E">
      <w:pPr>
        <w:pStyle w:val="Naslov2"/>
        <w:rPr>
          <w:caps w:val="0"/>
        </w:rPr>
      </w:pPr>
    </w:p>
    <w:p w:rsidR="00DF4770" w:rsidRPr="006E0441" w:rsidRDefault="00E22539" w:rsidP="00274D4E">
      <w:pPr>
        <w:pStyle w:val="Naslov2"/>
      </w:pPr>
      <w:bookmarkStart w:id="4" w:name="_Toc50273546"/>
      <w:r w:rsidRPr="006E0441">
        <w:rPr>
          <w:caps w:val="0"/>
        </w:rPr>
        <w:t xml:space="preserve">1.3 </w:t>
      </w:r>
      <w:r w:rsidR="006042F5" w:rsidRPr="006E0441">
        <w:rPr>
          <w:caps w:val="0"/>
        </w:rPr>
        <w:t>Stanje izvajanja OP 14-20 na dan 31. 8. 2020</w:t>
      </w:r>
      <w:bookmarkEnd w:id="4"/>
    </w:p>
    <w:p w:rsidR="00DF4770" w:rsidRPr="006E0441" w:rsidRDefault="00DF4770" w:rsidP="00DF4770">
      <w:pPr>
        <w:autoSpaceDE w:val="0"/>
        <w:autoSpaceDN w:val="0"/>
        <w:adjustRightInd w:val="0"/>
        <w:spacing w:after="0" w:line="288" w:lineRule="auto"/>
        <w:jc w:val="both"/>
        <w:rPr>
          <w:rFonts w:cs="Arial"/>
        </w:rPr>
      </w:pPr>
    </w:p>
    <w:p w:rsidR="00DF4770" w:rsidRPr="006E0441" w:rsidRDefault="00DF4770" w:rsidP="00DF4770">
      <w:pPr>
        <w:autoSpaceDE w:val="0"/>
        <w:autoSpaceDN w:val="0"/>
        <w:adjustRightInd w:val="0"/>
        <w:spacing w:after="0" w:line="288" w:lineRule="auto"/>
        <w:jc w:val="both"/>
        <w:rPr>
          <w:rFonts w:cs="Arial"/>
        </w:rPr>
      </w:pPr>
      <w:r w:rsidRPr="006E0441">
        <w:rPr>
          <w:rFonts w:cs="Arial"/>
        </w:rPr>
        <w:t xml:space="preserve">Slovenija je pri izvajanju kohezijske politike razdeljena na dve kohezijski regiji, in sicer na kohezijsko regijo Vzhodna Slovenija in kohezijsko regijo Zahodna Slovenija. Na podlagi enotne metodologije EU so sredstva ESRR in ESS razdeljena tako, da kohezijski regiji Vzhodna Slovenija pripada 60,6 % razpoložljivih sredstev in kohezijski regiji Zahodna Slovenija 39,4 % razpoložljivih sredstev. Za osnovno delitev med skladoma (tj. ESRR in ESS) so bile upoštevane razlike v njuni razvitosti, potrebah in stanju na trgu dela ter v napovedih povečevanja stopnje tveganja revščine. </w:t>
      </w:r>
      <w:r w:rsidR="008D11A0" w:rsidRPr="006E0441">
        <w:rPr>
          <w:rFonts w:cs="Arial"/>
        </w:rPr>
        <w:t>Stanje izvajanja prikazujemo skupaj z že izvedenimi aktivnosti na področju odziva na epidemijo COVID-19 in potrjenimi ukrepi na tem področju.</w:t>
      </w:r>
    </w:p>
    <w:p w:rsidR="00DF4770" w:rsidRPr="006E0441" w:rsidRDefault="00DF4770" w:rsidP="00DF4770">
      <w:pPr>
        <w:autoSpaceDE w:val="0"/>
        <w:autoSpaceDN w:val="0"/>
        <w:adjustRightInd w:val="0"/>
        <w:spacing w:after="0" w:line="288" w:lineRule="auto"/>
        <w:jc w:val="both"/>
        <w:rPr>
          <w:rFonts w:cs="Arial"/>
        </w:rPr>
      </w:pPr>
      <w:r w:rsidRPr="006E0441">
        <w:rPr>
          <w:rFonts w:cs="Arial"/>
        </w:rPr>
        <w:t>V okviru razpoložljivih sredstev v vrednosti 3.067.924.925 EUR (EU del)</w:t>
      </w:r>
      <w:r w:rsidRPr="006E0441">
        <w:rPr>
          <w:rStyle w:val="Sprotnaopomba-sklic"/>
          <w:rFonts w:cs="Arial"/>
        </w:rPr>
        <w:footnoteReference w:id="3"/>
      </w:r>
      <w:r w:rsidRPr="006E0441">
        <w:rPr>
          <w:rFonts w:cs="Arial"/>
        </w:rPr>
        <w:t xml:space="preserve"> za programsko obdobje 2014–2020 je </w:t>
      </w:r>
      <w:r w:rsidRPr="006E0441">
        <w:rPr>
          <w:rFonts w:cs="Arial"/>
          <w:b/>
        </w:rPr>
        <w:t>razdelitev sredstev po skladih</w:t>
      </w:r>
      <w:r w:rsidRPr="006E0441">
        <w:rPr>
          <w:rFonts w:cs="Arial"/>
        </w:rPr>
        <w:t xml:space="preserve"> naslednja:</w:t>
      </w:r>
    </w:p>
    <w:p w:rsidR="00DF4770" w:rsidRPr="006E0441" w:rsidRDefault="00DF4770" w:rsidP="00E22539">
      <w:pPr>
        <w:numPr>
          <w:ilvl w:val="0"/>
          <w:numId w:val="2"/>
        </w:numPr>
        <w:autoSpaceDE w:val="0"/>
        <w:autoSpaceDN w:val="0"/>
        <w:adjustRightInd w:val="0"/>
        <w:spacing w:after="0" w:line="288" w:lineRule="auto"/>
        <w:ind w:left="714" w:hanging="357"/>
        <w:jc w:val="both"/>
        <w:rPr>
          <w:rFonts w:cs="Arial"/>
        </w:rPr>
      </w:pPr>
      <w:r w:rsidRPr="006E0441">
        <w:rPr>
          <w:rFonts w:cs="Arial"/>
        </w:rPr>
        <w:lastRenderedPageBreak/>
        <w:t>ESRR: 1.416.685.363 EUR;</w:t>
      </w:r>
    </w:p>
    <w:p w:rsidR="00DF4770" w:rsidRPr="006E0441" w:rsidRDefault="00DF4770" w:rsidP="00E22539">
      <w:pPr>
        <w:numPr>
          <w:ilvl w:val="0"/>
          <w:numId w:val="2"/>
        </w:numPr>
        <w:autoSpaceDE w:val="0"/>
        <w:autoSpaceDN w:val="0"/>
        <w:adjustRightInd w:val="0"/>
        <w:spacing w:after="0" w:line="288" w:lineRule="auto"/>
        <w:ind w:left="714" w:hanging="357"/>
        <w:jc w:val="both"/>
        <w:rPr>
          <w:rFonts w:cs="Arial"/>
        </w:rPr>
      </w:pPr>
      <w:r w:rsidRPr="006E0441">
        <w:rPr>
          <w:rFonts w:cs="Arial"/>
        </w:rPr>
        <w:t>ESS: 718.769.595 EUR;</w:t>
      </w:r>
    </w:p>
    <w:p w:rsidR="00DF4770" w:rsidRPr="006E0441" w:rsidRDefault="00DF4770" w:rsidP="00E22539">
      <w:pPr>
        <w:numPr>
          <w:ilvl w:val="0"/>
          <w:numId w:val="2"/>
        </w:numPr>
        <w:autoSpaceDE w:val="0"/>
        <w:autoSpaceDN w:val="0"/>
        <w:adjustRightInd w:val="0"/>
        <w:spacing w:after="0" w:line="288" w:lineRule="auto"/>
        <w:ind w:left="714" w:hanging="357"/>
        <w:jc w:val="both"/>
        <w:rPr>
          <w:rFonts w:cs="Arial"/>
        </w:rPr>
      </w:pPr>
      <w:r w:rsidRPr="006E0441">
        <w:rPr>
          <w:rFonts w:cs="Arial"/>
        </w:rPr>
        <w:t>KS: 914.046.895 EUR;</w:t>
      </w:r>
    </w:p>
    <w:p w:rsidR="00DF4770" w:rsidRPr="006E0441" w:rsidRDefault="00DF4770" w:rsidP="00E22539">
      <w:pPr>
        <w:numPr>
          <w:ilvl w:val="0"/>
          <w:numId w:val="2"/>
        </w:numPr>
        <w:autoSpaceDE w:val="0"/>
        <w:autoSpaceDN w:val="0"/>
        <w:adjustRightInd w:val="0"/>
        <w:spacing w:after="0" w:line="360" w:lineRule="auto"/>
        <w:ind w:left="714" w:hanging="357"/>
        <w:jc w:val="both"/>
        <w:rPr>
          <w:rFonts w:cs="Arial"/>
        </w:rPr>
      </w:pPr>
      <w:r w:rsidRPr="006E0441">
        <w:rPr>
          <w:rFonts w:cs="Arial"/>
        </w:rPr>
        <w:t>YEI: 18.423.072 EUR</w:t>
      </w:r>
    </w:p>
    <w:p w:rsidR="001B326D" w:rsidRPr="006E0441" w:rsidRDefault="001B326D" w:rsidP="001B326D">
      <w:pPr>
        <w:autoSpaceDE w:val="0"/>
        <w:autoSpaceDN w:val="0"/>
        <w:adjustRightInd w:val="0"/>
        <w:spacing w:after="0" w:line="360" w:lineRule="auto"/>
        <w:ind w:left="714"/>
        <w:jc w:val="both"/>
        <w:rPr>
          <w:rFonts w:cs="Arial"/>
        </w:rPr>
      </w:pPr>
    </w:p>
    <w:p w:rsidR="00DF4770" w:rsidRPr="006E0441" w:rsidRDefault="00DF4770" w:rsidP="00DF4770">
      <w:pPr>
        <w:spacing w:after="0" w:line="288" w:lineRule="auto"/>
        <w:jc w:val="both"/>
        <w:rPr>
          <w:rFonts w:eastAsia="SimSun" w:cs="Arial"/>
          <w:lang w:eastAsia="zh-CN"/>
        </w:rPr>
      </w:pPr>
      <w:r w:rsidRPr="006E0441">
        <w:rPr>
          <w:rFonts w:eastAsia="SimSun" w:cs="Arial"/>
          <w:lang w:eastAsia="zh-CN"/>
        </w:rPr>
        <w:t xml:space="preserve">V okviru </w:t>
      </w:r>
      <w:r w:rsidRPr="006E0441">
        <w:rPr>
          <w:rFonts w:eastAsia="SimSun" w:cs="Arial"/>
          <w:b/>
          <w:lang w:eastAsia="zh-CN"/>
        </w:rPr>
        <w:t>razdelitve</w:t>
      </w:r>
      <w:r w:rsidRPr="006E0441">
        <w:rPr>
          <w:rFonts w:eastAsia="SimSun" w:cs="Arial"/>
          <w:lang w:eastAsia="zh-CN"/>
        </w:rPr>
        <w:t xml:space="preserve"> razpoložljivih sredstev posameznih skladov glede na </w:t>
      </w:r>
      <w:r w:rsidRPr="006E0441">
        <w:rPr>
          <w:rFonts w:eastAsia="SimSun" w:cs="Arial"/>
          <w:b/>
          <w:lang w:eastAsia="zh-CN"/>
        </w:rPr>
        <w:t>geografsko upravičenost</w:t>
      </w:r>
      <w:r w:rsidRPr="006E0441">
        <w:rPr>
          <w:rFonts w:eastAsia="SimSun" w:cs="Arial"/>
          <w:lang w:eastAsia="zh-CN"/>
        </w:rPr>
        <w:t>, kamor spada razdelitev na obe kohezijski regiji, je stanje naslednje:</w:t>
      </w:r>
    </w:p>
    <w:p w:rsidR="00DF4770" w:rsidRPr="006E0441" w:rsidRDefault="00DF4770" w:rsidP="00DF4770">
      <w:pPr>
        <w:spacing w:after="0" w:line="288" w:lineRule="auto"/>
        <w:jc w:val="both"/>
        <w:rPr>
          <w:rFonts w:eastAsia="SimSun" w:cs="Arial"/>
          <w:lang w:eastAsia="zh-CN"/>
        </w:rPr>
      </w:pPr>
    </w:p>
    <w:p w:rsidR="00DF4770" w:rsidRPr="006E0441" w:rsidRDefault="00DF4770" w:rsidP="00E22539">
      <w:pPr>
        <w:numPr>
          <w:ilvl w:val="0"/>
          <w:numId w:val="3"/>
        </w:numPr>
        <w:autoSpaceDE w:val="0"/>
        <w:autoSpaceDN w:val="0"/>
        <w:adjustRightInd w:val="0"/>
        <w:spacing w:after="0" w:line="288" w:lineRule="auto"/>
        <w:ind w:left="714" w:hanging="357"/>
        <w:jc w:val="both"/>
        <w:rPr>
          <w:rFonts w:eastAsia="SimSun" w:cs="Arial"/>
          <w:lang w:eastAsia="zh-CN"/>
        </w:rPr>
      </w:pPr>
      <w:r w:rsidRPr="006E0441">
        <w:rPr>
          <w:rFonts w:eastAsia="SimSun" w:cs="Arial"/>
          <w:lang w:eastAsia="zh-CN"/>
        </w:rPr>
        <w:t xml:space="preserve">kohezijski regiji Zahodna Slovenija je iz ESRR in ESS skupaj namenjenih 849 mio EUR razpoložljivih sredstev; </w:t>
      </w:r>
    </w:p>
    <w:p w:rsidR="00DF4770" w:rsidRPr="006E0441" w:rsidRDefault="00DF4770" w:rsidP="00E22539">
      <w:pPr>
        <w:numPr>
          <w:ilvl w:val="0"/>
          <w:numId w:val="3"/>
        </w:numPr>
        <w:autoSpaceDE w:val="0"/>
        <w:autoSpaceDN w:val="0"/>
        <w:adjustRightInd w:val="0"/>
        <w:spacing w:after="0" w:line="288" w:lineRule="auto"/>
        <w:jc w:val="both"/>
        <w:rPr>
          <w:rFonts w:eastAsia="SimSun" w:cs="Arial"/>
          <w:lang w:eastAsia="zh-CN"/>
        </w:rPr>
      </w:pPr>
      <w:r w:rsidRPr="006E0441">
        <w:rPr>
          <w:rFonts w:eastAsia="SimSun" w:cs="Arial"/>
          <w:lang w:eastAsia="zh-CN"/>
        </w:rPr>
        <w:t xml:space="preserve">kohezijski regiji Vzhodna Slovenija je iz ESRR in ESS skupaj namenjenih 1,305 mrd EUR razpoložljivih sredstev (zajeta so tudi sredstva pobude za zaposlovanje mladih, v nadaljnjem besedilu: YEI); </w:t>
      </w:r>
    </w:p>
    <w:p w:rsidR="00DF4770" w:rsidRPr="006E0441" w:rsidRDefault="00DF4770" w:rsidP="00E22539">
      <w:pPr>
        <w:numPr>
          <w:ilvl w:val="0"/>
          <w:numId w:val="3"/>
        </w:numPr>
        <w:autoSpaceDE w:val="0"/>
        <w:autoSpaceDN w:val="0"/>
        <w:adjustRightInd w:val="0"/>
        <w:spacing w:after="0" w:line="288" w:lineRule="auto"/>
        <w:jc w:val="both"/>
        <w:rPr>
          <w:rFonts w:eastAsia="SimSun" w:cs="Arial"/>
          <w:lang w:eastAsia="zh-CN"/>
        </w:rPr>
      </w:pPr>
      <w:r w:rsidRPr="006E0441">
        <w:rPr>
          <w:rFonts w:eastAsia="SimSun" w:cs="Arial"/>
          <w:lang w:eastAsia="zh-CN"/>
        </w:rPr>
        <w:t>obema regijama je skupaj na voljo še 914 mio EUR iz sklada KS, ki se ne deli med regijama in se izvaja na območju celotne Slovenije.</w:t>
      </w:r>
    </w:p>
    <w:p w:rsidR="00027804" w:rsidRPr="006E0441" w:rsidRDefault="00027804" w:rsidP="00DF4770">
      <w:pPr>
        <w:jc w:val="both"/>
        <w:rPr>
          <w:rFonts w:eastAsia="SimSun" w:cs="Arial"/>
          <w:lang w:eastAsia="zh-CN"/>
        </w:rPr>
      </w:pPr>
    </w:p>
    <w:p w:rsidR="005A1D5C" w:rsidRPr="006E0441" w:rsidRDefault="00F904EB" w:rsidP="00DF4770">
      <w:pPr>
        <w:jc w:val="both"/>
        <w:rPr>
          <w:rFonts w:eastAsia="SimSun" w:cs="Arial"/>
          <w:lang w:eastAsia="zh-CN"/>
        </w:rPr>
      </w:pPr>
      <w:r w:rsidRPr="006E0441">
        <w:rPr>
          <w:rFonts w:eastAsia="SimSun" w:cs="Arial"/>
          <w:lang w:eastAsia="zh-CN"/>
        </w:rPr>
        <w:t>Iz tabele 1 in tabele 2 je razvidno stanje izvajanja po posameznih prednostnih oseh in po posameznih skladih</w:t>
      </w:r>
      <w:r w:rsidR="005A1D5C" w:rsidRPr="006E0441">
        <w:rPr>
          <w:rFonts w:eastAsia="SimSun" w:cs="Arial"/>
          <w:lang w:eastAsia="zh-CN"/>
        </w:rPr>
        <w:t>:</w:t>
      </w:r>
    </w:p>
    <w:p w:rsidR="005A1D5C" w:rsidRPr="006E0441" w:rsidRDefault="005A1D5C" w:rsidP="00E22539">
      <w:pPr>
        <w:numPr>
          <w:ilvl w:val="0"/>
          <w:numId w:val="15"/>
        </w:numPr>
        <w:spacing w:after="0" w:line="288" w:lineRule="auto"/>
        <w:jc w:val="both"/>
        <w:rPr>
          <w:rFonts w:eastAsia="SimSun" w:cs="Arial"/>
          <w:lang w:eastAsia="zh-CN"/>
        </w:rPr>
      </w:pPr>
      <w:r w:rsidRPr="006E0441">
        <w:rPr>
          <w:rFonts w:eastAsia="SimSun" w:cs="Arial"/>
          <w:lang w:eastAsia="zh-CN"/>
        </w:rPr>
        <w:t>odločitve o podpori v skupni vrednosti 2.960.704.662 EUR (EU del), kar je 97 % vseh razpoložljivih sredstev;</w:t>
      </w:r>
    </w:p>
    <w:p w:rsidR="005A1D5C" w:rsidRPr="006E0441" w:rsidRDefault="005A1D5C" w:rsidP="00E22539">
      <w:pPr>
        <w:numPr>
          <w:ilvl w:val="0"/>
          <w:numId w:val="13"/>
        </w:numPr>
        <w:spacing w:after="0" w:line="288" w:lineRule="auto"/>
        <w:jc w:val="both"/>
        <w:rPr>
          <w:rFonts w:eastAsia="SimSun" w:cs="Arial"/>
          <w:lang w:eastAsia="zh-CN"/>
        </w:rPr>
      </w:pPr>
      <w:r w:rsidRPr="006E0441">
        <w:rPr>
          <w:rFonts w:eastAsia="SimSun" w:cs="Arial"/>
          <w:lang w:eastAsia="zh-CN"/>
        </w:rPr>
        <w:t>znesek potrjenih operacij v skupni vrednosti 2.254.699.892 EUR (EU del), kar je 73 % razpoložljivih sredstev;</w:t>
      </w:r>
    </w:p>
    <w:p w:rsidR="005A1D5C" w:rsidRPr="006E0441" w:rsidRDefault="005A1D5C" w:rsidP="00E22539">
      <w:pPr>
        <w:numPr>
          <w:ilvl w:val="0"/>
          <w:numId w:val="13"/>
        </w:numPr>
        <w:spacing w:after="0" w:line="288" w:lineRule="auto"/>
        <w:jc w:val="both"/>
        <w:rPr>
          <w:rFonts w:eastAsia="SimSun" w:cs="Arial"/>
          <w:lang w:eastAsia="zh-CN"/>
        </w:rPr>
      </w:pPr>
      <w:r w:rsidRPr="006E0441">
        <w:rPr>
          <w:rFonts w:eastAsia="SimSun" w:cs="Arial"/>
          <w:lang w:eastAsia="zh-CN"/>
        </w:rPr>
        <w:t xml:space="preserve">izplačila iz državnega proračuna v skupni vrednosti 1.234.717.432 EUR (EU del), kar je 40 % razpoložljivih sredstev; </w:t>
      </w:r>
    </w:p>
    <w:p w:rsidR="00DF4770" w:rsidRPr="006E0441" w:rsidRDefault="005A1D5C" w:rsidP="00E22539">
      <w:pPr>
        <w:numPr>
          <w:ilvl w:val="0"/>
          <w:numId w:val="14"/>
        </w:numPr>
        <w:autoSpaceDE w:val="0"/>
        <w:autoSpaceDN w:val="0"/>
        <w:adjustRightInd w:val="0"/>
        <w:spacing w:after="0" w:line="288" w:lineRule="auto"/>
        <w:jc w:val="both"/>
        <w:rPr>
          <w:rFonts w:eastAsia="SimSun" w:cs="Arial"/>
          <w:lang w:eastAsia="zh-CN"/>
        </w:rPr>
      </w:pPr>
      <w:r w:rsidRPr="006E0441">
        <w:rPr>
          <w:rFonts w:eastAsia="SimSun" w:cs="Arial"/>
          <w:lang w:eastAsia="zh-CN"/>
        </w:rPr>
        <w:t>certificirani izdatki v skupni vrednosti 1.132.991.896 EUR (EU del), kar je 37 % razpoložljivih sredstev</w:t>
      </w:r>
      <w:r w:rsidRPr="006E0441">
        <w:rPr>
          <w:rFonts w:eastAsia="Calibri" w:cs="Arial"/>
          <w:color w:val="000000"/>
        </w:rPr>
        <w:t>.</w:t>
      </w:r>
      <w:r w:rsidR="00F904EB" w:rsidRPr="006E0441">
        <w:rPr>
          <w:rFonts w:eastAsia="SimSun" w:cs="Arial"/>
          <w:lang w:eastAsia="zh-CN"/>
        </w:rPr>
        <w:t xml:space="preserve"> </w:t>
      </w:r>
    </w:p>
    <w:p w:rsidR="00AD40F8" w:rsidRPr="006E0441" w:rsidRDefault="00AD40F8" w:rsidP="00DF4770">
      <w:pPr>
        <w:jc w:val="both"/>
        <w:rPr>
          <w:b/>
        </w:rPr>
      </w:pPr>
    </w:p>
    <w:p w:rsidR="002B4178" w:rsidRPr="006E0441" w:rsidRDefault="001B326D" w:rsidP="00AD40F8">
      <w:pPr>
        <w:jc w:val="both"/>
        <w:rPr>
          <w:rFonts w:eastAsia="SimSun" w:cs="Arial"/>
          <w:lang w:eastAsia="zh-CN"/>
        </w:rPr>
      </w:pPr>
      <w:r w:rsidRPr="006E0441">
        <w:t>Glede na to, da je dejanska realizacija na projektih (izplačila) na terenu nižja od načrtovane (tako v odločitvah o podpori kot v operacijah) ter glede na dejstvo, da je trenutno certificiranih</w:t>
      </w:r>
      <w:r w:rsidR="00AD40F8" w:rsidRPr="006E0441">
        <w:t xml:space="preserve"> 37 %</w:t>
      </w:r>
      <w:r w:rsidR="00AD40F8" w:rsidRPr="006E0441">
        <w:rPr>
          <w:rFonts w:eastAsia="SimSun" w:cs="Arial"/>
          <w:lang w:eastAsia="zh-CN"/>
        </w:rPr>
        <w:t>razpoložljivih sredstev</w:t>
      </w:r>
      <w:r w:rsidRPr="006E0441">
        <w:rPr>
          <w:rFonts w:eastAsia="SimSun" w:cs="Arial"/>
          <w:lang w:eastAsia="zh-CN"/>
        </w:rPr>
        <w:t xml:space="preserve"> na projektih v izvajanju, na katerih pa je angažiranih 73% vseh sredstev, upoštevajoč tudi dejstvo, da je/bo določen del izdatkov kot posledica</w:t>
      </w:r>
      <w:r w:rsidR="00596C44" w:rsidRPr="006E0441">
        <w:rPr>
          <w:rFonts w:eastAsia="SimSun" w:cs="Arial"/>
          <w:lang w:eastAsia="zh-CN"/>
        </w:rPr>
        <w:t xml:space="preserve"> ugotovitev različnih organov nadzora</w:t>
      </w:r>
      <w:r w:rsidRPr="006E0441">
        <w:rPr>
          <w:rFonts w:eastAsia="SimSun" w:cs="Arial"/>
          <w:lang w:eastAsia="zh-CN"/>
        </w:rPr>
        <w:t xml:space="preserve"> neupravičen do sofinanciranja</w:t>
      </w:r>
      <w:r w:rsidR="00596C44" w:rsidRPr="006E0441">
        <w:rPr>
          <w:rFonts w:eastAsia="SimSun" w:cs="Arial"/>
          <w:lang w:eastAsia="zh-CN"/>
        </w:rPr>
        <w:t>,</w:t>
      </w:r>
      <w:r w:rsidR="00AD40F8" w:rsidRPr="006E0441">
        <w:rPr>
          <w:rFonts w:eastAsia="SimSun" w:cs="Arial"/>
          <w:lang w:eastAsia="zh-CN"/>
        </w:rPr>
        <w:t xml:space="preserve"> je </w:t>
      </w:r>
      <w:r w:rsidR="00596C44" w:rsidRPr="006E0441">
        <w:rPr>
          <w:rFonts w:eastAsia="SimSun" w:cs="Arial"/>
          <w:lang w:eastAsia="zh-CN"/>
        </w:rPr>
        <w:t>smiselno in nujno potrebno</w:t>
      </w:r>
      <w:r w:rsidR="00AD40F8" w:rsidRPr="006E0441">
        <w:rPr>
          <w:rFonts w:eastAsia="SimSun" w:cs="Arial"/>
          <w:lang w:eastAsia="zh-CN"/>
        </w:rPr>
        <w:t>, da</w:t>
      </w:r>
      <w:r w:rsidR="00596C44" w:rsidRPr="006E0441">
        <w:rPr>
          <w:rFonts w:eastAsia="SimSun" w:cs="Arial"/>
          <w:lang w:eastAsia="zh-CN"/>
        </w:rPr>
        <w:t xml:space="preserve"> se</w:t>
      </w:r>
      <w:r w:rsidR="00AD40F8" w:rsidRPr="006E0441">
        <w:rPr>
          <w:rFonts w:eastAsia="SimSun" w:cs="Arial"/>
          <w:lang w:eastAsia="zh-CN"/>
        </w:rPr>
        <w:t xml:space="preserve"> potrjuje projekte</w:t>
      </w:r>
      <w:r w:rsidR="00596C44" w:rsidRPr="006E0441">
        <w:rPr>
          <w:rFonts w:eastAsia="SimSun" w:cs="Arial"/>
          <w:lang w:eastAsia="zh-CN"/>
        </w:rPr>
        <w:t xml:space="preserve"> z načrtovanimi sredstvi</w:t>
      </w:r>
      <w:r w:rsidR="00AD40F8" w:rsidRPr="006E0441">
        <w:rPr>
          <w:rFonts w:eastAsia="SimSun" w:cs="Arial"/>
          <w:lang w:eastAsia="zh-CN"/>
        </w:rPr>
        <w:t xml:space="preserve"> nad predvidenimi pravicami porabe na posamezni prednostni osi</w:t>
      </w:r>
      <w:r w:rsidR="00596C44" w:rsidRPr="006E0441">
        <w:rPr>
          <w:rFonts w:eastAsia="SimSun" w:cs="Arial"/>
          <w:lang w:eastAsia="zh-CN"/>
        </w:rPr>
        <w:t>, s ciljem, da bo končna realizacija certificiranih in s strani EU potrjenih izdatkov lahko dosegla 100% razpoložljivih sredstev</w:t>
      </w:r>
      <w:r w:rsidR="00AD40F8" w:rsidRPr="006E0441">
        <w:rPr>
          <w:rFonts w:eastAsia="SimSun" w:cs="Arial"/>
          <w:lang w:eastAsia="zh-CN"/>
        </w:rPr>
        <w:t>.</w:t>
      </w:r>
      <w:r w:rsidR="00DD30BF" w:rsidRPr="006E0441">
        <w:rPr>
          <w:rFonts w:eastAsia="SimSun" w:cs="Arial"/>
          <w:lang w:eastAsia="zh-CN"/>
        </w:rPr>
        <w:t xml:space="preserve"> </w:t>
      </w:r>
    </w:p>
    <w:p w:rsidR="00AD40F8" w:rsidRPr="006E0441" w:rsidRDefault="00DD30BF" w:rsidP="00AD40F8">
      <w:pPr>
        <w:jc w:val="both"/>
        <w:sectPr w:rsidR="00AD40F8" w:rsidRPr="006E0441" w:rsidSect="00A527AC">
          <w:footerReference w:type="default" r:id="rId12"/>
          <w:pgSz w:w="11900" w:h="16840" w:code="9"/>
          <w:pgMar w:top="1701" w:right="1134" w:bottom="1418" w:left="1264" w:header="851" w:footer="329" w:gutter="0"/>
          <w:cols w:space="708"/>
          <w:docGrid w:linePitch="299"/>
        </w:sectPr>
      </w:pPr>
      <w:r w:rsidRPr="006E0441">
        <w:rPr>
          <w:rFonts w:eastAsia="SimSun" w:cs="Arial"/>
          <w:lang w:eastAsia="zh-CN"/>
        </w:rPr>
        <w:t>Izhajajoč iz stanja izvajanja, kjer podpovprečno nizki % na oseh 2,4 in 5 narekujejo potrebno reakcijo, je izpeljana sprememba obstoječega OP</w:t>
      </w:r>
      <w:r w:rsidR="00896C26">
        <w:rPr>
          <w:rFonts w:eastAsia="SimSun" w:cs="Arial"/>
          <w:lang w:eastAsia="zh-CN"/>
        </w:rPr>
        <w:t xml:space="preserve"> </w:t>
      </w:r>
      <w:r w:rsidRPr="006E0441">
        <w:rPr>
          <w:rFonts w:eastAsia="SimSun" w:cs="Arial"/>
          <w:lang w:eastAsia="zh-CN"/>
        </w:rPr>
        <w:t xml:space="preserve">14-20 , ki sledi v poglavju 3. </w:t>
      </w:r>
    </w:p>
    <w:p w:rsidR="00D86CAC" w:rsidRPr="006E0441" w:rsidRDefault="00D86CAC" w:rsidP="00D86CAC">
      <w:pPr>
        <w:jc w:val="both"/>
        <w:rPr>
          <w:b/>
        </w:rPr>
      </w:pPr>
      <w:r w:rsidRPr="006E0441">
        <w:rPr>
          <w:b/>
        </w:rPr>
        <w:lastRenderedPageBreak/>
        <w:t xml:space="preserve">Tabela </w:t>
      </w:r>
      <w:r w:rsidR="005E7303" w:rsidRPr="006E0441">
        <w:rPr>
          <w:b/>
        </w:rPr>
        <w:t>3</w:t>
      </w:r>
      <w:r w:rsidRPr="006E0441">
        <w:rPr>
          <w:b/>
        </w:rPr>
        <w:t xml:space="preserve">: Stanje izvajanja po regijah in skladih skupaj: obdobje od 1. 1. 2014 do 31. </w:t>
      </w:r>
      <w:r w:rsidR="00896CC3" w:rsidRPr="006E0441">
        <w:rPr>
          <w:b/>
        </w:rPr>
        <w:t>8</w:t>
      </w:r>
      <w:r w:rsidRPr="006E0441">
        <w:rPr>
          <w:b/>
        </w:rPr>
        <w:t xml:space="preserve">. 2020 </w:t>
      </w:r>
    </w:p>
    <w:tbl>
      <w:tblPr>
        <w:tblW w:w="14089" w:type="dxa"/>
        <w:tblInd w:w="55" w:type="dxa"/>
        <w:tblLayout w:type="fixed"/>
        <w:tblCellMar>
          <w:left w:w="70" w:type="dxa"/>
          <w:right w:w="70" w:type="dxa"/>
        </w:tblCellMar>
        <w:tblLook w:val="04A0" w:firstRow="1" w:lastRow="0" w:firstColumn="1" w:lastColumn="0" w:noHBand="0" w:noVBand="1"/>
      </w:tblPr>
      <w:tblGrid>
        <w:gridCol w:w="502"/>
        <w:gridCol w:w="732"/>
        <w:gridCol w:w="1049"/>
        <w:gridCol w:w="993"/>
        <w:gridCol w:w="416"/>
        <w:gridCol w:w="1001"/>
        <w:gridCol w:w="531"/>
        <w:gridCol w:w="1028"/>
        <w:gridCol w:w="505"/>
        <w:gridCol w:w="1055"/>
        <w:gridCol w:w="546"/>
        <w:gridCol w:w="1013"/>
        <w:gridCol w:w="588"/>
        <w:gridCol w:w="971"/>
        <w:gridCol w:w="992"/>
        <w:gridCol w:w="566"/>
        <w:gridCol w:w="994"/>
        <w:gridCol w:w="607"/>
      </w:tblGrid>
      <w:tr w:rsidR="00D86CAC" w:rsidRPr="006E0441" w:rsidTr="00EA470A">
        <w:trPr>
          <w:trHeight w:val="315"/>
        </w:trPr>
        <w:tc>
          <w:tcPr>
            <w:tcW w:w="502"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Sklad</w:t>
            </w:r>
          </w:p>
        </w:tc>
        <w:tc>
          <w:tcPr>
            <w:tcW w:w="732"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Regija</w:t>
            </w:r>
          </w:p>
        </w:tc>
        <w:tc>
          <w:tcPr>
            <w:tcW w:w="2458" w:type="dxa"/>
            <w:gridSpan w:val="3"/>
            <w:vMerge w:val="restart"/>
            <w:tcBorders>
              <w:top w:val="single" w:sz="8" w:space="0" w:color="auto"/>
              <w:left w:val="single" w:sz="8" w:space="0" w:color="auto"/>
              <w:bottom w:val="single" w:sz="8" w:space="0" w:color="000000"/>
              <w:right w:val="nil"/>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Vsa razpoložljiva sredstva*</w:t>
            </w:r>
          </w:p>
        </w:tc>
        <w:tc>
          <w:tcPr>
            <w:tcW w:w="3065" w:type="dxa"/>
            <w:gridSpan w:val="4"/>
            <w:tcBorders>
              <w:top w:val="single" w:sz="8" w:space="0" w:color="auto"/>
              <w:left w:val="single" w:sz="8" w:space="0" w:color="000000"/>
              <w:bottom w:val="single" w:sz="8" w:space="0" w:color="auto"/>
              <w:right w:val="single" w:sz="8" w:space="0" w:color="000000"/>
            </w:tcBorders>
            <w:shd w:val="clear" w:color="000000" w:fill="D9D9D9"/>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A</w:t>
            </w:r>
          </w:p>
        </w:tc>
        <w:tc>
          <w:tcPr>
            <w:tcW w:w="3202" w:type="dxa"/>
            <w:gridSpan w:val="4"/>
            <w:tcBorders>
              <w:top w:val="single" w:sz="8" w:space="0" w:color="auto"/>
              <w:left w:val="nil"/>
              <w:bottom w:val="single" w:sz="8" w:space="0" w:color="auto"/>
              <w:right w:val="single" w:sz="8" w:space="0" w:color="000000"/>
            </w:tcBorders>
            <w:shd w:val="clear" w:color="000000" w:fill="D9D9D9"/>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B</w:t>
            </w:r>
          </w:p>
        </w:tc>
        <w:tc>
          <w:tcPr>
            <w:tcW w:w="2529" w:type="dxa"/>
            <w:gridSpan w:val="3"/>
            <w:tcBorders>
              <w:top w:val="single" w:sz="8" w:space="0" w:color="auto"/>
              <w:left w:val="nil"/>
              <w:bottom w:val="single" w:sz="8" w:space="0" w:color="auto"/>
              <w:right w:val="nil"/>
            </w:tcBorders>
            <w:shd w:val="clear" w:color="000000" w:fill="D9D9D9"/>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C</w:t>
            </w:r>
          </w:p>
        </w:tc>
        <w:tc>
          <w:tcPr>
            <w:tcW w:w="1601"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D</w:t>
            </w:r>
          </w:p>
        </w:tc>
      </w:tr>
      <w:tr w:rsidR="00D86CAC" w:rsidRPr="006E0441" w:rsidTr="00EA470A">
        <w:trPr>
          <w:trHeight w:val="315"/>
        </w:trPr>
        <w:tc>
          <w:tcPr>
            <w:tcW w:w="502" w:type="dxa"/>
            <w:vMerge/>
            <w:tcBorders>
              <w:top w:val="single" w:sz="8" w:space="0" w:color="auto"/>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732" w:type="dxa"/>
            <w:vMerge/>
            <w:tcBorders>
              <w:top w:val="single" w:sz="8" w:space="0" w:color="auto"/>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2458" w:type="dxa"/>
            <w:gridSpan w:val="3"/>
            <w:vMerge/>
            <w:tcBorders>
              <w:top w:val="single" w:sz="8" w:space="0" w:color="auto"/>
              <w:left w:val="single" w:sz="8" w:space="0" w:color="auto"/>
              <w:bottom w:val="single" w:sz="8" w:space="0" w:color="000000"/>
              <w:right w:val="nil"/>
            </w:tcBorders>
            <w:vAlign w:val="center"/>
            <w:hideMark/>
          </w:tcPr>
          <w:p w:rsidR="00D86CAC" w:rsidRPr="006E0441" w:rsidRDefault="00D86CAC" w:rsidP="00D93386">
            <w:pPr>
              <w:rPr>
                <w:rFonts w:ascii="Calibri" w:hAnsi="Calibri"/>
                <w:b/>
                <w:bCs/>
                <w:color w:val="000000"/>
                <w:sz w:val="14"/>
                <w:szCs w:val="14"/>
              </w:rPr>
            </w:pPr>
          </w:p>
        </w:tc>
        <w:tc>
          <w:tcPr>
            <w:tcW w:w="3065" w:type="dxa"/>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Odločitve o podpori**</w:t>
            </w:r>
          </w:p>
        </w:tc>
        <w:tc>
          <w:tcPr>
            <w:tcW w:w="3202" w:type="dxa"/>
            <w:gridSpan w:val="4"/>
            <w:tcBorders>
              <w:top w:val="single" w:sz="8" w:space="0" w:color="auto"/>
              <w:left w:val="nil"/>
              <w:bottom w:val="single" w:sz="8" w:space="0" w:color="auto"/>
              <w:right w:val="single" w:sz="8" w:space="0" w:color="000000"/>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Potrjene operacije****</w:t>
            </w:r>
          </w:p>
        </w:tc>
        <w:tc>
          <w:tcPr>
            <w:tcW w:w="2529" w:type="dxa"/>
            <w:gridSpan w:val="3"/>
            <w:tcBorders>
              <w:top w:val="single" w:sz="8" w:space="0" w:color="auto"/>
              <w:left w:val="nil"/>
              <w:bottom w:val="single" w:sz="8" w:space="0" w:color="auto"/>
              <w:right w:val="nil"/>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Izplačila iz državnega proračuna******</w:t>
            </w:r>
          </w:p>
        </w:tc>
        <w:tc>
          <w:tcPr>
            <w:tcW w:w="1601" w:type="dxa"/>
            <w:gridSpan w:val="2"/>
            <w:tcBorders>
              <w:top w:val="single" w:sz="8" w:space="0" w:color="auto"/>
              <w:left w:val="single" w:sz="8" w:space="0" w:color="000000"/>
              <w:bottom w:val="single" w:sz="8" w:space="0" w:color="auto"/>
              <w:right w:val="single" w:sz="8" w:space="0" w:color="000000"/>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Certificirani izdatki (EU del)</w:t>
            </w:r>
          </w:p>
        </w:tc>
      </w:tr>
      <w:tr w:rsidR="00D86CAC" w:rsidRPr="006E0441" w:rsidTr="00EA470A">
        <w:trPr>
          <w:trHeight w:val="315"/>
        </w:trPr>
        <w:tc>
          <w:tcPr>
            <w:tcW w:w="502" w:type="dxa"/>
            <w:vMerge/>
            <w:tcBorders>
              <w:top w:val="single" w:sz="8" w:space="0" w:color="auto"/>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732" w:type="dxa"/>
            <w:vMerge/>
            <w:tcBorders>
              <w:top w:val="single" w:sz="8" w:space="0" w:color="auto"/>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1049" w:type="dxa"/>
            <w:vMerge w:val="restart"/>
            <w:tcBorders>
              <w:top w:val="nil"/>
              <w:left w:val="single" w:sz="8" w:space="0" w:color="auto"/>
              <w:bottom w:val="single" w:sz="8" w:space="0" w:color="000000"/>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EUR</w:t>
            </w:r>
          </w:p>
        </w:tc>
        <w:tc>
          <w:tcPr>
            <w:tcW w:w="993" w:type="dxa"/>
            <w:vMerge w:val="restart"/>
            <w:tcBorders>
              <w:top w:val="nil"/>
              <w:left w:val="single" w:sz="8" w:space="0" w:color="auto"/>
              <w:bottom w:val="single" w:sz="8" w:space="0" w:color="000000"/>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EU del (EUR)</w:t>
            </w:r>
          </w:p>
        </w:tc>
        <w:tc>
          <w:tcPr>
            <w:tcW w:w="416"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w:t>
            </w:r>
          </w:p>
        </w:tc>
        <w:tc>
          <w:tcPr>
            <w:tcW w:w="1001" w:type="dxa"/>
            <w:vMerge w:val="restart"/>
            <w:tcBorders>
              <w:top w:val="nil"/>
              <w:left w:val="single" w:sz="8" w:space="0" w:color="auto"/>
              <w:bottom w:val="single" w:sz="8" w:space="0" w:color="000000"/>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EUR***</w:t>
            </w:r>
          </w:p>
        </w:tc>
        <w:tc>
          <w:tcPr>
            <w:tcW w:w="531"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w:t>
            </w:r>
          </w:p>
        </w:tc>
        <w:tc>
          <w:tcPr>
            <w:tcW w:w="1028" w:type="dxa"/>
            <w:vMerge w:val="restart"/>
            <w:tcBorders>
              <w:top w:val="nil"/>
              <w:left w:val="single" w:sz="8" w:space="0" w:color="auto"/>
              <w:bottom w:val="single" w:sz="8" w:space="0" w:color="000000"/>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EU del (EUR)</w:t>
            </w:r>
          </w:p>
        </w:tc>
        <w:tc>
          <w:tcPr>
            <w:tcW w:w="505"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 EU del</w:t>
            </w:r>
          </w:p>
        </w:tc>
        <w:tc>
          <w:tcPr>
            <w:tcW w:w="1055" w:type="dxa"/>
            <w:vMerge w:val="restart"/>
            <w:tcBorders>
              <w:top w:val="nil"/>
              <w:left w:val="single" w:sz="8" w:space="0" w:color="auto"/>
              <w:bottom w:val="single" w:sz="8" w:space="0" w:color="000000"/>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EUR*****</w:t>
            </w:r>
          </w:p>
        </w:tc>
        <w:tc>
          <w:tcPr>
            <w:tcW w:w="546" w:type="dxa"/>
            <w:tcBorders>
              <w:top w:val="nil"/>
              <w:left w:val="nil"/>
              <w:bottom w:val="single" w:sz="8" w:space="0" w:color="auto"/>
              <w:right w:val="nil"/>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w:t>
            </w:r>
          </w:p>
        </w:tc>
        <w:tc>
          <w:tcPr>
            <w:tcW w:w="1013" w:type="dxa"/>
            <w:vMerge w:val="restart"/>
            <w:tcBorders>
              <w:top w:val="nil"/>
              <w:left w:val="single" w:sz="8" w:space="0" w:color="auto"/>
              <w:bottom w:val="single" w:sz="8" w:space="0" w:color="000000"/>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EU del (EUR)</w:t>
            </w:r>
          </w:p>
        </w:tc>
        <w:tc>
          <w:tcPr>
            <w:tcW w:w="588" w:type="dxa"/>
            <w:tcBorders>
              <w:top w:val="nil"/>
              <w:left w:val="nil"/>
              <w:bottom w:val="single" w:sz="8" w:space="0" w:color="auto"/>
              <w:right w:val="nil"/>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 EU del</w:t>
            </w:r>
          </w:p>
        </w:tc>
        <w:tc>
          <w:tcPr>
            <w:tcW w:w="971" w:type="dxa"/>
            <w:vMerge w:val="restart"/>
            <w:tcBorders>
              <w:top w:val="nil"/>
              <w:left w:val="single" w:sz="8" w:space="0" w:color="auto"/>
              <w:bottom w:val="single" w:sz="8" w:space="0" w:color="000000"/>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EU + SI del (EUR)</w:t>
            </w:r>
          </w:p>
        </w:tc>
        <w:tc>
          <w:tcPr>
            <w:tcW w:w="992" w:type="dxa"/>
            <w:vMerge w:val="restart"/>
            <w:tcBorders>
              <w:top w:val="nil"/>
              <w:left w:val="single" w:sz="8" w:space="0" w:color="auto"/>
              <w:bottom w:val="single" w:sz="8" w:space="0" w:color="000000"/>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EU del (EUR)</w:t>
            </w:r>
          </w:p>
        </w:tc>
        <w:tc>
          <w:tcPr>
            <w:tcW w:w="566"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 EU del</w:t>
            </w:r>
          </w:p>
        </w:tc>
        <w:tc>
          <w:tcPr>
            <w:tcW w:w="994" w:type="dxa"/>
            <w:vMerge w:val="restart"/>
            <w:tcBorders>
              <w:top w:val="nil"/>
              <w:left w:val="single" w:sz="8" w:space="0" w:color="auto"/>
              <w:bottom w:val="single" w:sz="8" w:space="0" w:color="000000"/>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EUR</w:t>
            </w:r>
          </w:p>
        </w:tc>
        <w:tc>
          <w:tcPr>
            <w:tcW w:w="607"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w:t>
            </w:r>
          </w:p>
        </w:tc>
      </w:tr>
      <w:tr w:rsidR="00D86CAC" w:rsidRPr="006E0441" w:rsidTr="00EA470A">
        <w:trPr>
          <w:trHeight w:val="390"/>
        </w:trPr>
        <w:tc>
          <w:tcPr>
            <w:tcW w:w="502" w:type="dxa"/>
            <w:vMerge/>
            <w:tcBorders>
              <w:top w:val="single" w:sz="8" w:space="0" w:color="auto"/>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732" w:type="dxa"/>
            <w:vMerge/>
            <w:tcBorders>
              <w:top w:val="single" w:sz="8" w:space="0" w:color="auto"/>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1049"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993"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416"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4/3*100</w:t>
            </w:r>
          </w:p>
        </w:tc>
        <w:tc>
          <w:tcPr>
            <w:tcW w:w="1001"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531"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6/3*100</w:t>
            </w:r>
          </w:p>
        </w:tc>
        <w:tc>
          <w:tcPr>
            <w:tcW w:w="1028"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505"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8/4*100</w:t>
            </w:r>
          </w:p>
        </w:tc>
        <w:tc>
          <w:tcPr>
            <w:tcW w:w="1055"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546" w:type="dxa"/>
            <w:tcBorders>
              <w:top w:val="nil"/>
              <w:left w:val="nil"/>
              <w:bottom w:val="single" w:sz="8" w:space="0" w:color="auto"/>
              <w:right w:val="nil"/>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10/3*100</w:t>
            </w:r>
          </w:p>
        </w:tc>
        <w:tc>
          <w:tcPr>
            <w:tcW w:w="1013"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588" w:type="dxa"/>
            <w:tcBorders>
              <w:top w:val="nil"/>
              <w:left w:val="nil"/>
              <w:bottom w:val="single" w:sz="8" w:space="0" w:color="auto"/>
              <w:right w:val="nil"/>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12/4*100</w:t>
            </w:r>
          </w:p>
        </w:tc>
        <w:tc>
          <w:tcPr>
            <w:tcW w:w="971"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992"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566"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15/4*100</w:t>
            </w:r>
          </w:p>
        </w:tc>
        <w:tc>
          <w:tcPr>
            <w:tcW w:w="994"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607"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17/4*100</w:t>
            </w:r>
          </w:p>
        </w:tc>
      </w:tr>
      <w:tr w:rsidR="00D86CAC" w:rsidRPr="006E0441" w:rsidTr="00EA470A">
        <w:trPr>
          <w:trHeight w:val="225"/>
        </w:trPr>
        <w:tc>
          <w:tcPr>
            <w:tcW w:w="502" w:type="dxa"/>
            <w:tcBorders>
              <w:top w:val="nil"/>
              <w:left w:val="single" w:sz="8" w:space="0" w:color="auto"/>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1</w:t>
            </w:r>
          </w:p>
        </w:tc>
        <w:tc>
          <w:tcPr>
            <w:tcW w:w="732" w:type="dxa"/>
            <w:tcBorders>
              <w:top w:val="nil"/>
              <w:left w:val="nil"/>
              <w:bottom w:val="single" w:sz="8" w:space="0" w:color="auto"/>
              <w:right w:val="nil"/>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2</w:t>
            </w:r>
          </w:p>
        </w:tc>
        <w:tc>
          <w:tcPr>
            <w:tcW w:w="1049" w:type="dxa"/>
            <w:tcBorders>
              <w:top w:val="nil"/>
              <w:left w:val="single" w:sz="8" w:space="0" w:color="auto"/>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3</w:t>
            </w:r>
          </w:p>
        </w:tc>
        <w:tc>
          <w:tcPr>
            <w:tcW w:w="993" w:type="dxa"/>
            <w:tcBorders>
              <w:top w:val="nil"/>
              <w:left w:val="nil"/>
              <w:bottom w:val="single" w:sz="8" w:space="0" w:color="auto"/>
              <w:right w:val="nil"/>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4</w:t>
            </w:r>
          </w:p>
        </w:tc>
        <w:tc>
          <w:tcPr>
            <w:tcW w:w="416" w:type="dxa"/>
            <w:tcBorders>
              <w:top w:val="nil"/>
              <w:left w:val="single" w:sz="8" w:space="0" w:color="auto"/>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5</w:t>
            </w:r>
          </w:p>
        </w:tc>
        <w:tc>
          <w:tcPr>
            <w:tcW w:w="1001"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6</w:t>
            </w:r>
          </w:p>
        </w:tc>
        <w:tc>
          <w:tcPr>
            <w:tcW w:w="531"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7</w:t>
            </w:r>
          </w:p>
        </w:tc>
        <w:tc>
          <w:tcPr>
            <w:tcW w:w="1028"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8</w:t>
            </w:r>
          </w:p>
        </w:tc>
        <w:tc>
          <w:tcPr>
            <w:tcW w:w="505"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9</w:t>
            </w:r>
          </w:p>
        </w:tc>
        <w:tc>
          <w:tcPr>
            <w:tcW w:w="1055"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10</w:t>
            </w:r>
          </w:p>
        </w:tc>
        <w:tc>
          <w:tcPr>
            <w:tcW w:w="546"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11</w:t>
            </w:r>
          </w:p>
        </w:tc>
        <w:tc>
          <w:tcPr>
            <w:tcW w:w="1013"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12</w:t>
            </w:r>
          </w:p>
        </w:tc>
        <w:tc>
          <w:tcPr>
            <w:tcW w:w="588" w:type="dxa"/>
            <w:tcBorders>
              <w:top w:val="nil"/>
              <w:left w:val="nil"/>
              <w:bottom w:val="single" w:sz="8" w:space="0" w:color="auto"/>
              <w:right w:val="nil"/>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13</w:t>
            </w:r>
          </w:p>
        </w:tc>
        <w:tc>
          <w:tcPr>
            <w:tcW w:w="971" w:type="dxa"/>
            <w:tcBorders>
              <w:top w:val="nil"/>
              <w:left w:val="single" w:sz="8" w:space="0" w:color="auto"/>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14</w:t>
            </w:r>
          </w:p>
        </w:tc>
        <w:tc>
          <w:tcPr>
            <w:tcW w:w="992"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15</w:t>
            </w:r>
          </w:p>
        </w:tc>
        <w:tc>
          <w:tcPr>
            <w:tcW w:w="566"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16</w:t>
            </w:r>
          </w:p>
        </w:tc>
        <w:tc>
          <w:tcPr>
            <w:tcW w:w="994"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17</w:t>
            </w:r>
          </w:p>
        </w:tc>
        <w:tc>
          <w:tcPr>
            <w:tcW w:w="607" w:type="dxa"/>
            <w:tcBorders>
              <w:top w:val="nil"/>
              <w:left w:val="nil"/>
              <w:bottom w:val="single" w:sz="8" w:space="0" w:color="auto"/>
              <w:right w:val="single" w:sz="8" w:space="0" w:color="auto"/>
            </w:tcBorders>
            <w:shd w:val="clear" w:color="000000" w:fill="D9D9D9"/>
            <w:vAlign w:val="center"/>
            <w:hideMark/>
          </w:tcPr>
          <w:p w:rsidR="00D86CAC" w:rsidRPr="006E0441" w:rsidRDefault="00D86CAC" w:rsidP="00D93386">
            <w:pPr>
              <w:jc w:val="center"/>
              <w:rPr>
                <w:rFonts w:ascii="Calibri" w:hAnsi="Calibri"/>
                <w:b/>
                <w:bCs/>
                <w:color w:val="000000"/>
                <w:sz w:val="10"/>
                <w:szCs w:val="10"/>
              </w:rPr>
            </w:pPr>
            <w:r w:rsidRPr="006E0441">
              <w:rPr>
                <w:rFonts w:ascii="Calibri" w:hAnsi="Calibri"/>
                <w:b/>
                <w:bCs/>
                <w:color w:val="000000"/>
                <w:sz w:val="10"/>
                <w:szCs w:val="10"/>
              </w:rPr>
              <w:t>18</w:t>
            </w:r>
          </w:p>
        </w:tc>
      </w:tr>
      <w:tr w:rsidR="00D86CAC" w:rsidRPr="006E0441" w:rsidTr="00EA470A">
        <w:trPr>
          <w:trHeight w:val="345"/>
        </w:trPr>
        <w:tc>
          <w:tcPr>
            <w:tcW w:w="502" w:type="dxa"/>
            <w:vMerge w:val="restart"/>
            <w:tcBorders>
              <w:top w:val="nil"/>
              <w:left w:val="single" w:sz="8" w:space="0" w:color="auto"/>
              <w:bottom w:val="single" w:sz="8" w:space="0" w:color="000000"/>
              <w:right w:val="single" w:sz="8" w:space="0" w:color="auto"/>
            </w:tcBorders>
            <w:shd w:val="clear" w:color="auto" w:fill="auto"/>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ESRR</w:t>
            </w:r>
          </w:p>
        </w:tc>
        <w:tc>
          <w:tcPr>
            <w:tcW w:w="732"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Vzhodna</w:t>
            </w:r>
          </w:p>
        </w:tc>
        <w:tc>
          <w:tcPr>
            <w:tcW w:w="1049"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1.156.176.788</w:t>
            </w:r>
          </w:p>
        </w:tc>
        <w:tc>
          <w:tcPr>
            <w:tcW w:w="993"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907.392.844</w:t>
            </w:r>
          </w:p>
        </w:tc>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78%</w:t>
            </w:r>
          </w:p>
        </w:tc>
        <w:tc>
          <w:tcPr>
            <w:tcW w:w="1001"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1.094.862.493</w:t>
            </w:r>
          </w:p>
        </w:tc>
        <w:tc>
          <w:tcPr>
            <w:tcW w:w="531"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95%</w:t>
            </w:r>
          </w:p>
        </w:tc>
        <w:tc>
          <w:tcPr>
            <w:tcW w:w="1028"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759.417.214</w:t>
            </w:r>
          </w:p>
        </w:tc>
        <w:tc>
          <w:tcPr>
            <w:tcW w:w="505"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84%</w:t>
            </w:r>
          </w:p>
        </w:tc>
        <w:tc>
          <w:tcPr>
            <w:tcW w:w="1055"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1.001.848.735</w:t>
            </w:r>
          </w:p>
        </w:tc>
        <w:tc>
          <w:tcPr>
            <w:tcW w:w="546"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87%</w:t>
            </w:r>
          </w:p>
        </w:tc>
        <w:tc>
          <w:tcPr>
            <w:tcW w:w="1013"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531.060.256</w:t>
            </w:r>
          </w:p>
        </w:tc>
        <w:tc>
          <w:tcPr>
            <w:tcW w:w="588"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59%</w:t>
            </w:r>
          </w:p>
        </w:tc>
        <w:tc>
          <w:tcPr>
            <w:tcW w:w="971"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293.738.805</w:t>
            </w:r>
          </w:p>
        </w:tc>
        <w:tc>
          <w:tcPr>
            <w:tcW w:w="992"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248.594.214</w:t>
            </w:r>
          </w:p>
        </w:tc>
        <w:tc>
          <w:tcPr>
            <w:tcW w:w="566"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27%</w:t>
            </w:r>
          </w:p>
        </w:tc>
        <w:tc>
          <w:tcPr>
            <w:tcW w:w="994"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239.703.666</w:t>
            </w:r>
          </w:p>
        </w:tc>
        <w:tc>
          <w:tcPr>
            <w:tcW w:w="607"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26%</w:t>
            </w:r>
          </w:p>
        </w:tc>
      </w:tr>
      <w:tr w:rsidR="00D86CAC" w:rsidRPr="006E0441" w:rsidTr="00EA470A">
        <w:trPr>
          <w:trHeight w:val="315"/>
        </w:trPr>
        <w:tc>
          <w:tcPr>
            <w:tcW w:w="502"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732"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Zahodna</w:t>
            </w:r>
          </w:p>
        </w:tc>
        <w:tc>
          <w:tcPr>
            <w:tcW w:w="1049"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665.929.422</w:t>
            </w:r>
          </w:p>
        </w:tc>
        <w:tc>
          <w:tcPr>
            <w:tcW w:w="993"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509.292.519</w:t>
            </w:r>
          </w:p>
        </w:tc>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76%</w:t>
            </w:r>
          </w:p>
        </w:tc>
        <w:tc>
          <w:tcPr>
            <w:tcW w:w="1001"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733.849.032</w:t>
            </w:r>
          </w:p>
        </w:tc>
        <w:tc>
          <w:tcPr>
            <w:tcW w:w="531"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110%</w:t>
            </w:r>
          </w:p>
        </w:tc>
        <w:tc>
          <w:tcPr>
            <w:tcW w:w="1028"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482.471.186</w:t>
            </w:r>
          </w:p>
        </w:tc>
        <w:tc>
          <w:tcPr>
            <w:tcW w:w="505"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95%</w:t>
            </w:r>
          </w:p>
        </w:tc>
        <w:tc>
          <w:tcPr>
            <w:tcW w:w="1055"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721.367.812</w:t>
            </w:r>
          </w:p>
        </w:tc>
        <w:tc>
          <w:tcPr>
            <w:tcW w:w="546"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108%</w:t>
            </w:r>
          </w:p>
        </w:tc>
        <w:tc>
          <w:tcPr>
            <w:tcW w:w="1013"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415.644.926</w:t>
            </w:r>
          </w:p>
        </w:tc>
        <w:tc>
          <w:tcPr>
            <w:tcW w:w="588"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82%</w:t>
            </w:r>
          </w:p>
        </w:tc>
        <w:tc>
          <w:tcPr>
            <w:tcW w:w="971"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251.180.695</w:t>
            </w:r>
          </w:p>
        </w:tc>
        <w:tc>
          <w:tcPr>
            <w:tcW w:w="992"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215.707.431</w:t>
            </w:r>
          </w:p>
        </w:tc>
        <w:tc>
          <w:tcPr>
            <w:tcW w:w="566"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42%</w:t>
            </w:r>
          </w:p>
        </w:tc>
        <w:tc>
          <w:tcPr>
            <w:tcW w:w="994"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209.056.211</w:t>
            </w:r>
          </w:p>
        </w:tc>
        <w:tc>
          <w:tcPr>
            <w:tcW w:w="607"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41%</w:t>
            </w:r>
          </w:p>
        </w:tc>
      </w:tr>
      <w:tr w:rsidR="00D86CAC" w:rsidRPr="006E0441" w:rsidTr="00EA470A">
        <w:trPr>
          <w:trHeight w:val="315"/>
        </w:trPr>
        <w:tc>
          <w:tcPr>
            <w:tcW w:w="1234" w:type="dxa"/>
            <w:gridSpan w:val="2"/>
            <w:tcBorders>
              <w:top w:val="nil"/>
              <w:left w:val="single" w:sz="8" w:space="0" w:color="auto"/>
              <w:bottom w:val="single" w:sz="8" w:space="0" w:color="auto"/>
              <w:right w:val="single" w:sz="8" w:space="0" w:color="000000"/>
            </w:tcBorders>
            <w:shd w:val="clear" w:color="000000" w:fill="D9D9D9"/>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Skupaj ESRR</w:t>
            </w:r>
          </w:p>
        </w:tc>
        <w:tc>
          <w:tcPr>
            <w:tcW w:w="1049"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1.822.106.210</w:t>
            </w:r>
          </w:p>
        </w:tc>
        <w:tc>
          <w:tcPr>
            <w:tcW w:w="993"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1.416.685.363</w:t>
            </w:r>
          </w:p>
        </w:tc>
        <w:tc>
          <w:tcPr>
            <w:tcW w:w="416" w:type="dxa"/>
            <w:tcBorders>
              <w:top w:val="nil"/>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78%</w:t>
            </w:r>
          </w:p>
        </w:tc>
        <w:tc>
          <w:tcPr>
            <w:tcW w:w="1001"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1.828.711.525</w:t>
            </w:r>
          </w:p>
        </w:tc>
        <w:tc>
          <w:tcPr>
            <w:tcW w:w="531"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100%</w:t>
            </w:r>
          </w:p>
        </w:tc>
        <w:tc>
          <w:tcPr>
            <w:tcW w:w="1028"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1.241.888.400</w:t>
            </w:r>
          </w:p>
        </w:tc>
        <w:tc>
          <w:tcPr>
            <w:tcW w:w="505"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88%</w:t>
            </w:r>
          </w:p>
        </w:tc>
        <w:tc>
          <w:tcPr>
            <w:tcW w:w="1055"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1.723.216.548</w:t>
            </w:r>
          </w:p>
        </w:tc>
        <w:tc>
          <w:tcPr>
            <w:tcW w:w="546"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95%</w:t>
            </w:r>
          </w:p>
        </w:tc>
        <w:tc>
          <w:tcPr>
            <w:tcW w:w="1013"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946.705.182</w:t>
            </w:r>
          </w:p>
        </w:tc>
        <w:tc>
          <w:tcPr>
            <w:tcW w:w="588"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67%</w:t>
            </w:r>
          </w:p>
        </w:tc>
        <w:tc>
          <w:tcPr>
            <w:tcW w:w="971"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544.919.500</w:t>
            </w:r>
          </w:p>
        </w:tc>
        <w:tc>
          <w:tcPr>
            <w:tcW w:w="992"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464.301.645</w:t>
            </w:r>
          </w:p>
        </w:tc>
        <w:tc>
          <w:tcPr>
            <w:tcW w:w="566"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33%</w:t>
            </w:r>
          </w:p>
        </w:tc>
        <w:tc>
          <w:tcPr>
            <w:tcW w:w="994"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448.759.877</w:t>
            </w:r>
          </w:p>
        </w:tc>
        <w:tc>
          <w:tcPr>
            <w:tcW w:w="60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32%</w:t>
            </w:r>
          </w:p>
        </w:tc>
      </w:tr>
      <w:tr w:rsidR="00D86CAC" w:rsidRPr="006E0441" w:rsidTr="00EA470A">
        <w:trPr>
          <w:trHeight w:val="315"/>
        </w:trPr>
        <w:tc>
          <w:tcPr>
            <w:tcW w:w="502" w:type="dxa"/>
            <w:vMerge w:val="restart"/>
            <w:tcBorders>
              <w:top w:val="nil"/>
              <w:left w:val="single" w:sz="8" w:space="0" w:color="auto"/>
              <w:bottom w:val="single" w:sz="8" w:space="0" w:color="000000"/>
              <w:right w:val="single" w:sz="8" w:space="0" w:color="auto"/>
            </w:tcBorders>
            <w:shd w:val="clear" w:color="auto" w:fill="auto"/>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ESS</w:t>
            </w:r>
          </w:p>
        </w:tc>
        <w:tc>
          <w:tcPr>
            <w:tcW w:w="732"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Vzhodna</w:t>
            </w:r>
          </w:p>
        </w:tc>
        <w:tc>
          <w:tcPr>
            <w:tcW w:w="1049"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474.341.949</w:t>
            </w:r>
          </w:p>
        </w:tc>
        <w:tc>
          <w:tcPr>
            <w:tcW w:w="993"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379.473.557</w:t>
            </w:r>
          </w:p>
        </w:tc>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80%</w:t>
            </w:r>
          </w:p>
        </w:tc>
        <w:tc>
          <w:tcPr>
            <w:tcW w:w="1001"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546.300.022</w:t>
            </w:r>
          </w:p>
        </w:tc>
        <w:tc>
          <w:tcPr>
            <w:tcW w:w="531"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115%</w:t>
            </w:r>
          </w:p>
        </w:tc>
        <w:tc>
          <w:tcPr>
            <w:tcW w:w="1028"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449.688.282</w:t>
            </w:r>
          </w:p>
        </w:tc>
        <w:tc>
          <w:tcPr>
            <w:tcW w:w="505"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119%</w:t>
            </w:r>
          </w:p>
        </w:tc>
        <w:tc>
          <w:tcPr>
            <w:tcW w:w="1055"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448.273.474</w:t>
            </w:r>
          </w:p>
        </w:tc>
        <w:tc>
          <w:tcPr>
            <w:tcW w:w="546"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95%</w:t>
            </w:r>
          </w:p>
        </w:tc>
        <w:tc>
          <w:tcPr>
            <w:tcW w:w="1013"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359.056.830</w:t>
            </w:r>
          </w:p>
        </w:tc>
        <w:tc>
          <w:tcPr>
            <w:tcW w:w="588"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95%</w:t>
            </w:r>
          </w:p>
        </w:tc>
        <w:tc>
          <w:tcPr>
            <w:tcW w:w="971"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238.999.384</w:t>
            </w:r>
          </w:p>
        </w:tc>
        <w:tc>
          <w:tcPr>
            <w:tcW w:w="992"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190.660.810</w:t>
            </w:r>
          </w:p>
        </w:tc>
        <w:tc>
          <w:tcPr>
            <w:tcW w:w="566"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50%</w:t>
            </w:r>
          </w:p>
        </w:tc>
        <w:tc>
          <w:tcPr>
            <w:tcW w:w="994"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143.346.804</w:t>
            </w:r>
          </w:p>
        </w:tc>
        <w:tc>
          <w:tcPr>
            <w:tcW w:w="607"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38%</w:t>
            </w:r>
          </w:p>
        </w:tc>
      </w:tr>
      <w:tr w:rsidR="00D86CAC" w:rsidRPr="006E0441" w:rsidTr="00EA470A">
        <w:trPr>
          <w:trHeight w:val="315"/>
        </w:trPr>
        <w:tc>
          <w:tcPr>
            <w:tcW w:w="502"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732"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Zahodna</w:t>
            </w:r>
          </w:p>
        </w:tc>
        <w:tc>
          <w:tcPr>
            <w:tcW w:w="1049"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424.120.049</w:t>
            </w:r>
          </w:p>
        </w:tc>
        <w:tc>
          <w:tcPr>
            <w:tcW w:w="993"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339.296.038</w:t>
            </w:r>
          </w:p>
        </w:tc>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80%</w:t>
            </w:r>
          </w:p>
        </w:tc>
        <w:tc>
          <w:tcPr>
            <w:tcW w:w="1001"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497.313.623</w:t>
            </w:r>
          </w:p>
        </w:tc>
        <w:tc>
          <w:tcPr>
            <w:tcW w:w="531"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117%</w:t>
            </w:r>
          </w:p>
        </w:tc>
        <w:tc>
          <w:tcPr>
            <w:tcW w:w="1028"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407.655.860</w:t>
            </w:r>
          </w:p>
        </w:tc>
        <w:tc>
          <w:tcPr>
            <w:tcW w:w="505"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120%</w:t>
            </w:r>
          </w:p>
        </w:tc>
        <w:tc>
          <w:tcPr>
            <w:tcW w:w="1055"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391.967.112</w:t>
            </w:r>
          </w:p>
        </w:tc>
        <w:tc>
          <w:tcPr>
            <w:tcW w:w="546"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92%</w:t>
            </w:r>
          </w:p>
        </w:tc>
        <w:tc>
          <w:tcPr>
            <w:tcW w:w="1013"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309.855.267</w:t>
            </w:r>
          </w:p>
        </w:tc>
        <w:tc>
          <w:tcPr>
            <w:tcW w:w="588"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91%</w:t>
            </w:r>
          </w:p>
        </w:tc>
        <w:tc>
          <w:tcPr>
            <w:tcW w:w="971"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211.034.819</w:t>
            </w:r>
          </w:p>
        </w:tc>
        <w:tc>
          <w:tcPr>
            <w:tcW w:w="992"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168.908.111</w:t>
            </w:r>
          </w:p>
        </w:tc>
        <w:tc>
          <w:tcPr>
            <w:tcW w:w="566"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50%</w:t>
            </w:r>
          </w:p>
        </w:tc>
        <w:tc>
          <w:tcPr>
            <w:tcW w:w="994"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130.804.892</w:t>
            </w:r>
          </w:p>
        </w:tc>
        <w:tc>
          <w:tcPr>
            <w:tcW w:w="607"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39%</w:t>
            </w:r>
          </w:p>
        </w:tc>
      </w:tr>
      <w:tr w:rsidR="00D86CAC" w:rsidRPr="006E0441" w:rsidTr="00EA470A">
        <w:trPr>
          <w:trHeight w:val="315"/>
        </w:trPr>
        <w:tc>
          <w:tcPr>
            <w:tcW w:w="1234" w:type="dxa"/>
            <w:gridSpan w:val="2"/>
            <w:tcBorders>
              <w:top w:val="nil"/>
              <w:left w:val="single" w:sz="8" w:space="0" w:color="auto"/>
              <w:bottom w:val="single" w:sz="8" w:space="0" w:color="auto"/>
              <w:right w:val="single" w:sz="8" w:space="0" w:color="000000"/>
            </w:tcBorders>
            <w:shd w:val="clear" w:color="000000" w:fill="D9D9D9"/>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Skupaj ESS</w:t>
            </w:r>
          </w:p>
        </w:tc>
        <w:tc>
          <w:tcPr>
            <w:tcW w:w="1049"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898.461.998</w:t>
            </w:r>
          </w:p>
        </w:tc>
        <w:tc>
          <w:tcPr>
            <w:tcW w:w="993"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718.769.595</w:t>
            </w:r>
          </w:p>
        </w:tc>
        <w:tc>
          <w:tcPr>
            <w:tcW w:w="416" w:type="dxa"/>
            <w:tcBorders>
              <w:top w:val="nil"/>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80%</w:t>
            </w:r>
          </w:p>
        </w:tc>
        <w:tc>
          <w:tcPr>
            <w:tcW w:w="1001"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1.043.613.645</w:t>
            </w:r>
          </w:p>
        </w:tc>
        <w:tc>
          <w:tcPr>
            <w:tcW w:w="531"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116%</w:t>
            </w:r>
          </w:p>
        </w:tc>
        <w:tc>
          <w:tcPr>
            <w:tcW w:w="1028"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857.344.142</w:t>
            </w:r>
          </w:p>
        </w:tc>
        <w:tc>
          <w:tcPr>
            <w:tcW w:w="505"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119%</w:t>
            </w:r>
          </w:p>
        </w:tc>
        <w:tc>
          <w:tcPr>
            <w:tcW w:w="1055"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840.240.587</w:t>
            </w:r>
          </w:p>
        </w:tc>
        <w:tc>
          <w:tcPr>
            <w:tcW w:w="546"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94%</w:t>
            </w:r>
          </w:p>
        </w:tc>
        <w:tc>
          <w:tcPr>
            <w:tcW w:w="1013"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668.912.097</w:t>
            </w:r>
          </w:p>
        </w:tc>
        <w:tc>
          <w:tcPr>
            <w:tcW w:w="588"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93%</w:t>
            </w:r>
          </w:p>
        </w:tc>
        <w:tc>
          <w:tcPr>
            <w:tcW w:w="971"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450.034.203</w:t>
            </w:r>
          </w:p>
        </w:tc>
        <w:tc>
          <w:tcPr>
            <w:tcW w:w="992"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359.568.921</w:t>
            </w:r>
          </w:p>
        </w:tc>
        <w:tc>
          <w:tcPr>
            <w:tcW w:w="566"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50%</w:t>
            </w:r>
          </w:p>
        </w:tc>
        <w:tc>
          <w:tcPr>
            <w:tcW w:w="994"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274.151.696</w:t>
            </w:r>
          </w:p>
        </w:tc>
        <w:tc>
          <w:tcPr>
            <w:tcW w:w="60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38%</w:t>
            </w:r>
          </w:p>
        </w:tc>
      </w:tr>
      <w:tr w:rsidR="00D86CAC" w:rsidRPr="006E0441" w:rsidTr="00EA470A">
        <w:trPr>
          <w:trHeight w:val="315"/>
        </w:trPr>
        <w:tc>
          <w:tcPr>
            <w:tcW w:w="502" w:type="dxa"/>
            <w:tcBorders>
              <w:top w:val="nil"/>
              <w:left w:val="single" w:sz="8" w:space="0" w:color="auto"/>
              <w:bottom w:val="single" w:sz="8" w:space="0" w:color="auto"/>
              <w:right w:val="single" w:sz="8" w:space="0" w:color="auto"/>
            </w:tcBorders>
            <w:shd w:val="clear" w:color="auto" w:fill="auto"/>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KS</w:t>
            </w:r>
          </w:p>
        </w:tc>
        <w:tc>
          <w:tcPr>
            <w:tcW w:w="732"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Celotna SLO</w:t>
            </w:r>
          </w:p>
        </w:tc>
        <w:tc>
          <w:tcPr>
            <w:tcW w:w="1049"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1.075.349.290</w:t>
            </w:r>
          </w:p>
        </w:tc>
        <w:tc>
          <w:tcPr>
            <w:tcW w:w="993"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914.046.895</w:t>
            </w:r>
          </w:p>
        </w:tc>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85%</w:t>
            </w:r>
          </w:p>
        </w:tc>
        <w:tc>
          <w:tcPr>
            <w:tcW w:w="1001"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1.894.873.422</w:t>
            </w:r>
          </w:p>
        </w:tc>
        <w:tc>
          <w:tcPr>
            <w:tcW w:w="531"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176%</w:t>
            </w:r>
          </w:p>
        </w:tc>
        <w:tc>
          <w:tcPr>
            <w:tcW w:w="1028"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843.049.048</w:t>
            </w:r>
          </w:p>
        </w:tc>
        <w:tc>
          <w:tcPr>
            <w:tcW w:w="505"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92%</w:t>
            </w:r>
          </w:p>
        </w:tc>
        <w:tc>
          <w:tcPr>
            <w:tcW w:w="1055"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973.144.118</w:t>
            </w:r>
          </w:p>
        </w:tc>
        <w:tc>
          <w:tcPr>
            <w:tcW w:w="546"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90%</w:t>
            </w:r>
          </w:p>
        </w:tc>
        <w:tc>
          <w:tcPr>
            <w:tcW w:w="1013"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620.448.043</w:t>
            </w:r>
          </w:p>
        </w:tc>
        <w:tc>
          <w:tcPr>
            <w:tcW w:w="588"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68%</w:t>
            </w:r>
          </w:p>
        </w:tc>
        <w:tc>
          <w:tcPr>
            <w:tcW w:w="971"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447.311.455</w:t>
            </w:r>
          </w:p>
        </w:tc>
        <w:tc>
          <w:tcPr>
            <w:tcW w:w="992"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393.538.568</w:t>
            </w:r>
          </w:p>
        </w:tc>
        <w:tc>
          <w:tcPr>
            <w:tcW w:w="566"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43%</w:t>
            </w:r>
          </w:p>
        </w:tc>
        <w:tc>
          <w:tcPr>
            <w:tcW w:w="994"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393.007.957</w:t>
            </w:r>
          </w:p>
        </w:tc>
        <w:tc>
          <w:tcPr>
            <w:tcW w:w="607"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43%</w:t>
            </w:r>
          </w:p>
        </w:tc>
      </w:tr>
      <w:tr w:rsidR="00D86CAC" w:rsidRPr="006E0441" w:rsidTr="00EA470A">
        <w:trPr>
          <w:trHeight w:val="315"/>
        </w:trPr>
        <w:tc>
          <w:tcPr>
            <w:tcW w:w="1234"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Skupaj KS</w:t>
            </w:r>
          </w:p>
        </w:tc>
        <w:tc>
          <w:tcPr>
            <w:tcW w:w="1049"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1.075.349.290</w:t>
            </w:r>
          </w:p>
        </w:tc>
        <w:tc>
          <w:tcPr>
            <w:tcW w:w="993"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914.046.895</w:t>
            </w:r>
          </w:p>
        </w:tc>
        <w:tc>
          <w:tcPr>
            <w:tcW w:w="416" w:type="dxa"/>
            <w:tcBorders>
              <w:top w:val="nil"/>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85%</w:t>
            </w:r>
          </w:p>
        </w:tc>
        <w:tc>
          <w:tcPr>
            <w:tcW w:w="1001"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1.894.873.422</w:t>
            </w:r>
          </w:p>
        </w:tc>
        <w:tc>
          <w:tcPr>
            <w:tcW w:w="531"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176%</w:t>
            </w:r>
          </w:p>
        </w:tc>
        <w:tc>
          <w:tcPr>
            <w:tcW w:w="1028"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843.049.048</w:t>
            </w:r>
          </w:p>
        </w:tc>
        <w:tc>
          <w:tcPr>
            <w:tcW w:w="505"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92%</w:t>
            </w:r>
          </w:p>
        </w:tc>
        <w:tc>
          <w:tcPr>
            <w:tcW w:w="1055"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973.144.118</w:t>
            </w:r>
          </w:p>
        </w:tc>
        <w:tc>
          <w:tcPr>
            <w:tcW w:w="546"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90%</w:t>
            </w:r>
          </w:p>
        </w:tc>
        <w:tc>
          <w:tcPr>
            <w:tcW w:w="1013"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620.448.043</w:t>
            </w:r>
          </w:p>
        </w:tc>
        <w:tc>
          <w:tcPr>
            <w:tcW w:w="588"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68%</w:t>
            </w:r>
          </w:p>
        </w:tc>
        <w:tc>
          <w:tcPr>
            <w:tcW w:w="971"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447.311.455</w:t>
            </w:r>
          </w:p>
        </w:tc>
        <w:tc>
          <w:tcPr>
            <w:tcW w:w="992"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393.538.568</w:t>
            </w:r>
          </w:p>
        </w:tc>
        <w:tc>
          <w:tcPr>
            <w:tcW w:w="566"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43%</w:t>
            </w:r>
          </w:p>
        </w:tc>
        <w:tc>
          <w:tcPr>
            <w:tcW w:w="994"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393.007.957</w:t>
            </w:r>
          </w:p>
        </w:tc>
        <w:tc>
          <w:tcPr>
            <w:tcW w:w="60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43%</w:t>
            </w:r>
          </w:p>
        </w:tc>
      </w:tr>
      <w:tr w:rsidR="00D86CAC" w:rsidRPr="006E0441" w:rsidTr="00EA470A">
        <w:trPr>
          <w:trHeight w:val="315"/>
        </w:trPr>
        <w:tc>
          <w:tcPr>
            <w:tcW w:w="502" w:type="dxa"/>
            <w:tcBorders>
              <w:top w:val="nil"/>
              <w:left w:val="single" w:sz="8" w:space="0" w:color="auto"/>
              <w:bottom w:val="single" w:sz="8" w:space="0" w:color="auto"/>
              <w:right w:val="single" w:sz="8" w:space="0" w:color="auto"/>
            </w:tcBorders>
            <w:shd w:val="clear" w:color="auto" w:fill="auto"/>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YEI</w:t>
            </w:r>
          </w:p>
        </w:tc>
        <w:tc>
          <w:tcPr>
            <w:tcW w:w="732"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Vzhodna</w:t>
            </w:r>
          </w:p>
        </w:tc>
        <w:tc>
          <w:tcPr>
            <w:tcW w:w="1049"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20.725.956</w:t>
            </w:r>
          </w:p>
        </w:tc>
        <w:tc>
          <w:tcPr>
            <w:tcW w:w="993"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18.423.072</w:t>
            </w:r>
          </w:p>
        </w:tc>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89%</w:t>
            </w:r>
          </w:p>
        </w:tc>
        <w:tc>
          <w:tcPr>
            <w:tcW w:w="1001"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20.725.956</w:t>
            </w:r>
          </w:p>
        </w:tc>
        <w:tc>
          <w:tcPr>
            <w:tcW w:w="531"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100%</w:t>
            </w:r>
          </w:p>
        </w:tc>
        <w:tc>
          <w:tcPr>
            <w:tcW w:w="1028"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18.423.072</w:t>
            </w:r>
          </w:p>
        </w:tc>
        <w:tc>
          <w:tcPr>
            <w:tcW w:w="505"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100%</w:t>
            </w:r>
          </w:p>
        </w:tc>
        <w:tc>
          <w:tcPr>
            <w:tcW w:w="1055"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20.963.900</w:t>
            </w:r>
          </w:p>
        </w:tc>
        <w:tc>
          <w:tcPr>
            <w:tcW w:w="546"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101%</w:t>
            </w:r>
          </w:p>
        </w:tc>
        <w:tc>
          <w:tcPr>
            <w:tcW w:w="1013"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18.634.569</w:t>
            </w:r>
          </w:p>
        </w:tc>
        <w:tc>
          <w:tcPr>
            <w:tcW w:w="588"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101%</w:t>
            </w:r>
          </w:p>
        </w:tc>
        <w:tc>
          <w:tcPr>
            <w:tcW w:w="971"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18.690.731</w:t>
            </w:r>
          </w:p>
        </w:tc>
        <w:tc>
          <w:tcPr>
            <w:tcW w:w="992"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17.308.298</w:t>
            </w:r>
          </w:p>
        </w:tc>
        <w:tc>
          <w:tcPr>
            <w:tcW w:w="566"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94%</w:t>
            </w:r>
          </w:p>
        </w:tc>
        <w:tc>
          <w:tcPr>
            <w:tcW w:w="994" w:type="dxa"/>
            <w:tcBorders>
              <w:top w:val="nil"/>
              <w:left w:val="nil"/>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17.072.366</w:t>
            </w:r>
          </w:p>
        </w:tc>
        <w:tc>
          <w:tcPr>
            <w:tcW w:w="607"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93%</w:t>
            </w:r>
          </w:p>
        </w:tc>
      </w:tr>
      <w:tr w:rsidR="00D86CAC" w:rsidRPr="006E0441" w:rsidTr="00EA470A">
        <w:trPr>
          <w:trHeight w:val="315"/>
        </w:trPr>
        <w:tc>
          <w:tcPr>
            <w:tcW w:w="1234"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Skupaj YEI</w:t>
            </w:r>
          </w:p>
        </w:tc>
        <w:tc>
          <w:tcPr>
            <w:tcW w:w="1049"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20.725.956</w:t>
            </w:r>
          </w:p>
        </w:tc>
        <w:tc>
          <w:tcPr>
            <w:tcW w:w="993"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18.423.072</w:t>
            </w:r>
          </w:p>
        </w:tc>
        <w:tc>
          <w:tcPr>
            <w:tcW w:w="416" w:type="dxa"/>
            <w:tcBorders>
              <w:top w:val="nil"/>
              <w:left w:val="nil"/>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89%</w:t>
            </w:r>
          </w:p>
        </w:tc>
        <w:tc>
          <w:tcPr>
            <w:tcW w:w="1001"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20.725.956</w:t>
            </w:r>
          </w:p>
        </w:tc>
        <w:tc>
          <w:tcPr>
            <w:tcW w:w="531"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100%</w:t>
            </w:r>
          </w:p>
        </w:tc>
        <w:tc>
          <w:tcPr>
            <w:tcW w:w="1028"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18.423.072</w:t>
            </w:r>
          </w:p>
        </w:tc>
        <w:tc>
          <w:tcPr>
            <w:tcW w:w="505"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100%</w:t>
            </w:r>
          </w:p>
        </w:tc>
        <w:tc>
          <w:tcPr>
            <w:tcW w:w="1055"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20.659.400</w:t>
            </w:r>
          </w:p>
        </w:tc>
        <w:tc>
          <w:tcPr>
            <w:tcW w:w="546"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100%</w:t>
            </w:r>
          </w:p>
        </w:tc>
        <w:tc>
          <w:tcPr>
            <w:tcW w:w="1013"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18.634.569</w:t>
            </w:r>
          </w:p>
        </w:tc>
        <w:tc>
          <w:tcPr>
            <w:tcW w:w="588"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101%</w:t>
            </w:r>
          </w:p>
        </w:tc>
        <w:tc>
          <w:tcPr>
            <w:tcW w:w="971"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18.690.731</w:t>
            </w:r>
          </w:p>
        </w:tc>
        <w:tc>
          <w:tcPr>
            <w:tcW w:w="992"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17.308.298</w:t>
            </w:r>
          </w:p>
        </w:tc>
        <w:tc>
          <w:tcPr>
            <w:tcW w:w="566"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94%</w:t>
            </w:r>
          </w:p>
        </w:tc>
        <w:tc>
          <w:tcPr>
            <w:tcW w:w="994"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17.072.366</w:t>
            </w:r>
          </w:p>
        </w:tc>
        <w:tc>
          <w:tcPr>
            <w:tcW w:w="607"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93%</w:t>
            </w:r>
          </w:p>
        </w:tc>
      </w:tr>
      <w:tr w:rsidR="00D86CAC" w:rsidRPr="006E0441" w:rsidTr="00EA470A">
        <w:trPr>
          <w:trHeight w:val="315"/>
        </w:trPr>
        <w:tc>
          <w:tcPr>
            <w:tcW w:w="50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 xml:space="preserve">OP </w:t>
            </w:r>
          </w:p>
        </w:tc>
        <w:tc>
          <w:tcPr>
            <w:tcW w:w="732"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Vzhodna</w:t>
            </w:r>
          </w:p>
        </w:tc>
        <w:tc>
          <w:tcPr>
            <w:tcW w:w="1049"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1.651.244.693</w:t>
            </w:r>
          </w:p>
        </w:tc>
        <w:tc>
          <w:tcPr>
            <w:tcW w:w="993"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1.305.289.473</w:t>
            </w:r>
          </w:p>
        </w:tc>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79%</w:t>
            </w:r>
          </w:p>
        </w:tc>
        <w:tc>
          <w:tcPr>
            <w:tcW w:w="1001"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1.661.888.471</w:t>
            </w:r>
          </w:p>
        </w:tc>
        <w:tc>
          <w:tcPr>
            <w:tcW w:w="531"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101%</w:t>
            </w:r>
          </w:p>
        </w:tc>
        <w:tc>
          <w:tcPr>
            <w:tcW w:w="1028"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1.227.528.569</w:t>
            </w:r>
          </w:p>
        </w:tc>
        <w:tc>
          <w:tcPr>
            <w:tcW w:w="505"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94%</w:t>
            </w:r>
          </w:p>
        </w:tc>
        <w:tc>
          <w:tcPr>
            <w:tcW w:w="1055"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1.471.086.110</w:t>
            </w:r>
          </w:p>
        </w:tc>
        <w:tc>
          <w:tcPr>
            <w:tcW w:w="546"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89%</w:t>
            </w:r>
          </w:p>
        </w:tc>
        <w:tc>
          <w:tcPr>
            <w:tcW w:w="1013"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908.751.655</w:t>
            </w:r>
          </w:p>
        </w:tc>
        <w:tc>
          <w:tcPr>
            <w:tcW w:w="588"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70%</w:t>
            </w:r>
          </w:p>
        </w:tc>
        <w:tc>
          <w:tcPr>
            <w:tcW w:w="971"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551.428.920</w:t>
            </w:r>
          </w:p>
        </w:tc>
        <w:tc>
          <w:tcPr>
            <w:tcW w:w="992"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456.563.322</w:t>
            </w:r>
          </w:p>
        </w:tc>
        <w:tc>
          <w:tcPr>
            <w:tcW w:w="566"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35%</w:t>
            </w:r>
          </w:p>
        </w:tc>
        <w:tc>
          <w:tcPr>
            <w:tcW w:w="994"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400.122.836</w:t>
            </w:r>
          </w:p>
        </w:tc>
        <w:tc>
          <w:tcPr>
            <w:tcW w:w="607"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31%</w:t>
            </w:r>
          </w:p>
        </w:tc>
      </w:tr>
      <w:tr w:rsidR="00D86CAC" w:rsidRPr="006E0441" w:rsidTr="00EA470A">
        <w:trPr>
          <w:trHeight w:val="315"/>
        </w:trPr>
        <w:tc>
          <w:tcPr>
            <w:tcW w:w="502"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732"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Zahodna</w:t>
            </w:r>
          </w:p>
        </w:tc>
        <w:tc>
          <w:tcPr>
            <w:tcW w:w="1049"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1.090.049.471</w:t>
            </w:r>
          </w:p>
        </w:tc>
        <w:tc>
          <w:tcPr>
            <w:tcW w:w="993" w:type="dxa"/>
            <w:tcBorders>
              <w:top w:val="nil"/>
              <w:left w:val="single" w:sz="8" w:space="0" w:color="auto"/>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848.588.557</w:t>
            </w:r>
          </w:p>
        </w:tc>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78%</w:t>
            </w:r>
          </w:p>
        </w:tc>
        <w:tc>
          <w:tcPr>
            <w:tcW w:w="1001"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1.231.162.654</w:t>
            </w:r>
          </w:p>
        </w:tc>
        <w:tc>
          <w:tcPr>
            <w:tcW w:w="531"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113%</w:t>
            </w:r>
          </w:p>
        </w:tc>
        <w:tc>
          <w:tcPr>
            <w:tcW w:w="1028"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890.127.045</w:t>
            </w:r>
          </w:p>
        </w:tc>
        <w:tc>
          <w:tcPr>
            <w:tcW w:w="505"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105%</w:t>
            </w:r>
          </w:p>
        </w:tc>
        <w:tc>
          <w:tcPr>
            <w:tcW w:w="1055"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1.113.334.924</w:t>
            </w:r>
          </w:p>
        </w:tc>
        <w:tc>
          <w:tcPr>
            <w:tcW w:w="546"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102%</w:t>
            </w:r>
          </w:p>
        </w:tc>
        <w:tc>
          <w:tcPr>
            <w:tcW w:w="1013"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725.500.193</w:t>
            </w:r>
          </w:p>
        </w:tc>
        <w:tc>
          <w:tcPr>
            <w:tcW w:w="588"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85%</w:t>
            </w:r>
          </w:p>
        </w:tc>
        <w:tc>
          <w:tcPr>
            <w:tcW w:w="971" w:type="dxa"/>
            <w:tcBorders>
              <w:top w:val="nil"/>
              <w:left w:val="single" w:sz="8" w:space="0" w:color="auto"/>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462.215.514</w:t>
            </w:r>
          </w:p>
        </w:tc>
        <w:tc>
          <w:tcPr>
            <w:tcW w:w="992"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384.615.542</w:t>
            </w:r>
          </w:p>
        </w:tc>
        <w:tc>
          <w:tcPr>
            <w:tcW w:w="566"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45%</w:t>
            </w:r>
          </w:p>
        </w:tc>
        <w:tc>
          <w:tcPr>
            <w:tcW w:w="994"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339.861.103</w:t>
            </w:r>
          </w:p>
        </w:tc>
        <w:tc>
          <w:tcPr>
            <w:tcW w:w="607"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40%</w:t>
            </w:r>
          </w:p>
        </w:tc>
      </w:tr>
      <w:tr w:rsidR="00D86CAC" w:rsidRPr="006E0441" w:rsidTr="00EA470A">
        <w:trPr>
          <w:trHeight w:val="315"/>
        </w:trPr>
        <w:tc>
          <w:tcPr>
            <w:tcW w:w="502" w:type="dxa"/>
            <w:vMerge/>
            <w:tcBorders>
              <w:top w:val="nil"/>
              <w:left w:val="single" w:sz="8" w:space="0" w:color="auto"/>
              <w:bottom w:val="single" w:sz="8" w:space="0" w:color="000000"/>
              <w:right w:val="single" w:sz="8" w:space="0" w:color="auto"/>
            </w:tcBorders>
            <w:vAlign w:val="center"/>
            <w:hideMark/>
          </w:tcPr>
          <w:p w:rsidR="00D86CAC" w:rsidRPr="006E0441" w:rsidRDefault="00D86CAC" w:rsidP="00D93386">
            <w:pPr>
              <w:rPr>
                <w:rFonts w:ascii="Calibri" w:hAnsi="Calibri"/>
                <w:b/>
                <w:bCs/>
                <w:color w:val="000000"/>
                <w:sz w:val="14"/>
                <w:szCs w:val="14"/>
              </w:rPr>
            </w:pPr>
          </w:p>
        </w:tc>
        <w:tc>
          <w:tcPr>
            <w:tcW w:w="732" w:type="dxa"/>
            <w:tcBorders>
              <w:top w:val="nil"/>
              <w:left w:val="nil"/>
              <w:bottom w:val="single" w:sz="8" w:space="0" w:color="auto"/>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Celotna SLO</w:t>
            </w:r>
          </w:p>
        </w:tc>
        <w:tc>
          <w:tcPr>
            <w:tcW w:w="1049"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1.075.349.290</w:t>
            </w:r>
          </w:p>
        </w:tc>
        <w:tc>
          <w:tcPr>
            <w:tcW w:w="993" w:type="dxa"/>
            <w:tcBorders>
              <w:top w:val="nil"/>
              <w:left w:val="single" w:sz="8" w:space="0" w:color="auto"/>
              <w:bottom w:val="nil"/>
              <w:right w:val="nil"/>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914.046.895</w:t>
            </w:r>
          </w:p>
        </w:tc>
        <w:tc>
          <w:tcPr>
            <w:tcW w:w="416"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85%</w:t>
            </w:r>
          </w:p>
        </w:tc>
        <w:tc>
          <w:tcPr>
            <w:tcW w:w="1001" w:type="dxa"/>
            <w:tcBorders>
              <w:top w:val="nil"/>
              <w:left w:val="nil"/>
              <w:bottom w:val="nil"/>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1.894.873.422</w:t>
            </w:r>
          </w:p>
        </w:tc>
        <w:tc>
          <w:tcPr>
            <w:tcW w:w="531" w:type="dxa"/>
            <w:tcBorders>
              <w:top w:val="nil"/>
              <w:left w:val="nil"/>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176%</w:t>
            </w:r>
          </w:p>
        </w:tc>
        <w:tc>
          <w:tcPr>
            <w:tcW w:w="1028" w:type="dxa"/>
            <w:tcBorders>
              <w:top w:val="nil"/>
              <w:left w:val="nil"/>
              <w:bottom w:val="nil"/>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843.049.048</w:t>
            </w:r>
          </w:p>
        </w:tc>
        <w:tc>
          <w:tcPr>
            <w:tcW w:w="505" w:type="dxa"/>
            <w:tcBorders>
              <w:top w:val="nil"/>
              <w:left w:val="nil"/>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92%</w:t>
            </w:r>
          </w:p>
        </w:tc>
        <w:tc>
          <w:tcPr>
            <w:tcW w:w="1055" w:type="dxa"/>
            <w:tcBorders>
              <w:top w:val="nil"/>
              <w:left w:val="nil"/>
              <w:bottom w:val="nil"/>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973.144.118</w:t>
            </w:r>
          </w:p>
        </w:tc>
        <w:tc>
          <w:tcPr>
            <w:tcW w:w="546" w:type="dxa"/>
            <w:tcBorders>
              <w:top w:val="nil"/>
              <w:left w:val="nil"/>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90%</w:t>
            </w:r>
          </w:p>
        </w:tc>
        <w:tc>
          <w:tcPr>
            <w:tcW w:w="1013" w:type="dxa"/>
            <w:tcBorders>
              <w:top w:val="nil"/>
              <w:left w:val="nil"/>
              <w:bottom w:val="nil"/>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620.448.043</w:t>
            </w:r>
          </w:p>
        </w:tc>
        <w:tc>
          <w:tcPr>
            <w:tcW w:w="588" w:type="dxa"/>
            <w:tcBorders>
              <w:top w:val="nil"/>
              <w:left w:val="nil"/>
              <w:bottom w:val="nil"/>
              <w:right w:val="nil"/>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68%</w:t>
            </w:r>
          </w:p>
        </w:tc>
        <w:tc>
          <w:tcPr>
            <w:tcW w:w="971" w:type="dxa"/>
            <w:tcBorders>
              <w:top w:val="nil"/>
              <w:left w:val="single" w:sz="8" w:space="0" w:color="auto"/>
              <w:bottom w:val="nil"/>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447.311.455</w:t>
            </w:r>
          </w:p>
        </w:tc>
        <w:tc>
          <w:tcPr>
            <w:tcW w:w="992" w:type="dxa"/>
            <w:tcBorders>
              <w:top w:val="nil"/>
              <w:left w:val="nil"/>
              <w:bottom w:val="nil"/>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393.538.568</w:t>
            </w:r>
          </w:p>
        </w:tc>
        <w:tc>
          <w:tcPr>
            <w:tcW w:w="566" w:type="dxa"/>
            <w:tcBorders>
              <w:top w:val="nil"/>
              <w:left w:val="nil"/>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43%</w:t>
            </w:r>
          </w:p>
        </w:tc>
        <w:tc>
          <w:tcPr>
            <w:tcW w:w="994" w:type="dxa"/>
            <w:tcBorders>
              <w:top w:val="nil"/>
              <w:left w:val="nil"/>
              <w:bottom w:val="single" w:sz="8" w:space="0" w:color="auto"/>
              <w:right w:val="single" w:sz="8" w:space="0" w:color="auto"/>
            </w:tcBorders>
            <w:shd w:val="clear" w:color="auto" w:fill="auto"/>
            <w:noWrap/>
            <w:vAlign w:val="center"/>
            <w:hideMark/>
          </w:tcPr>
          <w:p w:rsidR="00D86CAC" w:rsidRPr="006E0441" w:rsidRDefault="00D86CAC" w:rsidP="00D93386">
            <w:pPr>
              <w:jc w:val="right"/>
              <w:rPr>
                <w:rFonts w:ascii="Calibri" w:hAnsi="Calibri"/>
                <w:color w:val="000000"/>
                <w:sz w:val="14"/>
                <w:szCs w:val="14"/>
              </w:rPr>
            </w:pPr>
            <w:r w:rsidRPr="006E0441">
              <w:rPr>
                <w:rFonts w:ascii="Calibri" w:hAnsi="Calibri"/>
                <w:color w:val="000000"/>
                <w:sz w:val="14"/>
                <w:szCs w:val="14"/>
              </w:rPr>
              <w:t>393.007.957</w:t>
            </w:r>
          </w:p>
        </w:tc>
        <w:tc>
          <w:tcPr>
            <w:tcW w:w="607" w:type="dxa"/>
            <w:tcBorders>
              <w:top w:val="nil"/>
              <w:left w:val="nil"/>
              <w:bottom w:val="nil"/>
              <w:right w:val="single" w:sz="8" w:space="0" w:color="auto"/>
            </w:tcBorders>
            <w:shd w:val="clear" w:color="auto" w:fill="auto"/>
            <w:noWrap/>
            <w:vAlign w:val="center"/>
            <w:hideMark/>
          </w:tcPr>
          <w:p w:rsidR="00D86CAC" w:rsidRPr="006E0441" w:rsidRDefault="00D86CAC" w:rsidP="00D93386">
            <w:pPr>
              <w:jc w:val="center"/>
              <w:rPr>
                <w:rFonts w:ascii="Calibri" w:hAnsi="Calibri"/>
                <w:color w:val="000000"/>
                <w:sz w:val="14"/>
                <w:szCs w:val="14"/>
              </w:rPr>
            </w:pPr>
            <w:r w:rsidRPr="006E0441">
              <w:rPr>
                <w:rFonts w:ascii="Calibri" w:hAnsi="Calibri"/>
                <w:color w:val="000000"/>
                <w:sz w:val="14"/>
                <w:szCs w:val="14"/>
              </w:rPr>
              <w:t>43%</w:t>
            </w:r>
          </w:p>
        </w:tc>
      </w:tr>
      <w:tr w:rsidR="00D86CAC" w:rsidRPr="006E0441" w:rsidTr="00EA470A">
        <w:trPr>
          <w:trHeight w:val="315"/>
        </w:trPr>
        <w:tc>
          <w:tcPr>
            <w:tcW w:w="1234" w:type="dxa"/>
            <w:gridSpan w:val="2"/>
            <w:tcBorders>
              <w:top w:val="nil"/>
              <w:left w:val="single" w:sz="8" w:space="0" w:color="auto"/>
              <w:bottom w:val="single" w:sz="8" w:space="0" w:color="auto"/>
              <w:right w:val="single" w:sz="8" w:space="0" w:color="000000"/>
            </w:tcBorders>
            <w:shd w:val="clear" w:color="000000" w:fill="D9D9D9"/>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 xml:space="preserve">Skupaj OP </w:t>
            </w:r>
          </w:p>
        </w:tc>
        <w:tc>
          <w:tcPr>
            <w:tcW w:w="1049"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3.816.643.454</w:t>
            </w:r>
          </w:p>
        </w:tc>
        <w:tc>
          <w:tcPr>
            <w:tcW w:w="993" w:type="dxa"/>
            <w:tcBorders>
              <w:top w:val="single" w:sz="8" w:space="0" w:color="auto"/>
              <w:left w:val="single" w:sz="8" w:space="0" w:color="auto"/>
              <w:bottom w:val="single" w:sz="8" w:space="0" w:color="auto"/>
              <w:right w:val="nil"/>
            </w:tcBorders>
            <w:shd w:val="clear" w:color="000000" w:fill="D9D9D9"/>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3.067.924.925</w:t>
            </w:r>
          </w:p>
        </w:tc>
        <w:tc>
          <w:tcPr>
            <w:tcW w:w="416"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80%</w:t>
            </w:r>
          </w:p>
        </w:tc>
        <w:tc>
          <w:tcPr>
            <w:tcW w:w="1001"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4.787.924.548</w:t>
            </w:r>
          </w:p>
        </w:tc>
        <w:tc>
          <w:tcPr>
            <w:tcW w:w="531"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125%</w:t>
            </w:r>
          </w:p>
        </w:tc>
        <w:tc>
          <w:tcPr>
            <w:tcW w:w="1028"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2.960.704.662</w:t>
            </w:r>
          </w:p>
        </w:tc>
        <w:tc>
          <w:tcPr>
            <w:tcW w:w="505"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97%</w:t>
            </w:r>
          </w:p>
        </w:tc>
        <w:tc>
          <w:tcPr>
            <w:tcW w:w="1055"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3.557.565.152</w:t>
            </w:r>
          </w:p>
        </w:tc>
        <w:tc>
          <w:tcPr>
            <w:tcW w:w="546"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93%</w:t>
            </w:r>
          </w:p>
        </w:tc>
        <w:tc>
          <w:tcPr>
            <w:tcW w:w="1013"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2.254.699.892</w:t>
            </w:r>
          </w:p>
        </w:tc>
        <w:tc>
          <w:tcPr>
            <w:tcW w:w="588" w:type="dxa"/>
            <w:tcBorders>
              <w:top w:val="single" w:sz="8" w:space="0" w:color="auto"/>
              <w:left w:val="nil"/>
              <w:bottom w:val="single" w:sz="8" w:space="0" w:color="auto"/>
              <w:right w:val="nil"/>
            </w:tcBorders>
            <w:shd w:val="clear" w:color="000000" w:fill="D9D9D9"/>
            <w:noWrap/>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73%</w:t>
            </w:r>
          </w:p>
        </w:tc>
        <w:tc>
          <w:tcPr>
            <w:tcW w:w="971"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1.460.955.889</w:t>
            </w:r>
          </w:p>
        </w:tc>
        <w:tc>
          <w:tcPr>
            <w:tcW w:w="992"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1.234.717.432</w:t>
            </w:r>
          </w:p>
        </w:tc>
        <w:tc>
          <w:tcPr>
            <w:tcW w:w="566"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40%</w:t>
            </w:r>
          </w:p>
        </w:tc>
        <w:tc>
          <w:tcPr>
            <w:tcW w:w="994" w:type="dxa"/>
            <w:tcBorders>
              <w:top w:val="nil"/>
              <w:left w:val="nil"/>
              <w:bottom w:val="single" w:sz="8" w:space="0" w:color="auto"/>
              <w:right w:val="single" w:sz="8" w:space="0" w:color="auto"/>
            </w:tcBorders>
            <w:shd w:val="clear" w:color="000000" w:fill="D9D9D9"/>
            <w:noWrap/>
            <w:vAlign w:val="center"/>
            <w:hideMark/>
          </w:tcPr>
          <w:p w:rsidR="00D86CAC" w:rsidRPr="006E0441" w:rsidRDefault="00D86CAC" w:rsidP="00D93386">
            <w:pPr>
              <w:jc w:val="right"/>
              <w:rPr>
                <w:rFonts w:ascii="Calibri" w:hAnsi="Calibri"/>
                <w:b/>
                <w:bCs/>
                <w:color w:val="000000"/>
                <w:sz w:val="14"/>
                <w:szCs w:val="14"/>
              </w:rPr>
            </w:pPr>
            <w:r w:rsidRPr="006E0441">
              <w:rPr>
                <w:rFonts w:ascii="Calibri" w:hAnsi="Calibri"/>
                <w:b/>
                <w:bCs/>
                <w:color w:val="000000"/>
                <w:sz w:val="14"/>
                <w:szCs w:val="14"/>
              </w:rPr>
              <w:t>1.132.991.896</w:t>
            </w:r>
          </w:p>
        </w:tc>
        <w:tc>
          <w:tcPr>
            <w:tcW w:w="607" w:type="dxa"/>
            <w:tcBorders>
              <w:top w:val="single" w:sz="8" w:space="0" w:color="auto"/>
              <w:left w:val="nil"/>
              <w:bottom w:val="single" w:sz="8" w:space="0" w:color="auto"/>
              <w:right w:val="single" w:sz="8" w:space="0" w:color="auto"/>
            </w:tcBorders>
            <w:shd w:val="clear" w:color="000000" w:fill="D9D9D9"/>
            <w:noWrap/>
            <w:vAlign w:val="center"/>
            <w:hideMark/>
          </w:tcPr>
          <w:p w:rsidR="00D86CAC" w:rsidRPr="006E0441" w:rsidRDefault="00D86CAC" w:rsidP="00D93386">
            <w:pPr>
              <w:jc w:val="center"/>
              <w:rPr>
                <w:rFonts w:ascii="Calibri" w:hAnsi="Calibri"/>
                <w:b/>
                <w:bCs/>
                <w:color w:val="000000"/>
                <w:sz w:val="14"/>
                <w:szCs w:val="14"/>
              </w:rPr>
            </w:pPr>
            <w:r w:rsidRPr="006E0441">
              <w:rPr>
                <w:rFonts w:ascii="Calibri" w:hAnsi="Calibri"/>
                <w:b/>
                <w:bCs/>
                <w:color w:val="000000"/>
                <w:sz w:val="14"/>
                <w:szCs w:val="14"/>
              </w:rPr>
              <w:t>37%</w:t>
            </w:r>
          </w:p>
        </w:tc>
      </w:tr>
    </w:tbl>
    <w:p w:rsidR="00DF4770" w:rsidRPr="006E0441" w:rsidRDefault="00D86CAC" w:rsidP="00DF4770">
      <w:pPr>
        <w:jc w:val="both"/>
        <w:rPr>
          <w:b/>
        </w:rPr>
      </w:pPr>
      <w:r w:rsidRPr="006E0441">
        <w:rPr>
          <w:b/>
        </w:rPr>
        <w:br w:type="page"/>
      </w:r>
      <w:r w:rsidR="00DF4770" w:rsidRPr="006E0441">
        <w:rPr>
          <w:b/>
        </w:rPr>
        <w:lastRenderedPageBreak/>
        <w:t xml:space="preserve">Tabela </w:t>
      </w:r>
      <w:r w:rsidR="005E7303" w:rsidRPr="006E0441">
        <w:rPr>
          <w:b/>
        </w:rPr>
        <w:t>4</w:t>
      </w:r>
      <w:r w:rsidR="00DF4770" w:rsidRPr="006E0441">
        <w:rPr>
          <w:b/>
        </w:rPr>
        <w:t xml:space="preserve">: Stanje izvajanja po prednostnih oseh skupaj: obdobje od 1. 1. 2014 do 31. </w:t>
      </w:r>
      <w:r w:rsidR="00896CC3" w:rsidRPr="006E0441">
        <w:rPr>
          <w:b/>
        </w:rPr>
        <w:t>8</w:t>
      </w:r>
      <w:r w:rsidR="00DF4770" w:rsidRPr="006E0441">
        <w:rPr>
          <w:b/>
        </w:rPr>
        <w:t xml:space="preserve">. 2020 </w:t>
      </w:r>
    </w:p>
    <w:tbl>
      <w:tblPr>
        <w:tblW w:w="13827" w:type="dxa"/>
        <w:tblInd w:w="55" w:type="dxa"/>
        <w:tblCellMar>
          <w:left w:w="70" w:type="dxa"/>
          <w:right w:w="70" w:type="dxa"/>
        </w:tblCellMar>
        <w:tblLook w:val="04A0" w:firstRow="1" w:lastRow="0" w:firstColumn="1" w:lastColumn="0" w:noHBand="0" w:noVBand="1"/>
      </w:tblPr>
      <w:tblGrid>
        <w:gridCol w:w="841"/>
        <w:gridCol w:w="962"/>
        <w:gridCol w:w="987"/>
        <w:gridCol w:w="625"/>
        <w:gridCol w:w="962"/>
        <w:gridCol w:w="625"/>
        <w:gridCol w:w="962"/>
        <w:gridCol w:w="625"/>
        <w:gridCol w:w="962"/>
        <w:gridCol w:w="625"/>
        <w:gridCol w:w="962"/>
        <w:gridCol w:w="696"/>
        <w:gridCol w:w="962"/>
        <w:gridCol w:w="962"/>
        <w:gridCol w:w="696"/>
        <w:gridCol w:w="962"/>
        <w:gridCol w:w="853"/>
      </w:tblGrid>
      <w:tr w:rsidR="00DF4770" w:rsidRPr="006E0441" w:rsidTr="002066CF">
        <w:trPr>
          <w:trHeight w:val="315"/>
        </w:trPr>
        <w:tc>
          <w:tcPr>
            <w:tcW w:w="0" w:type="auto"/>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OS</w:t>
            </w:r>
          </w:p>
        </w:tc>
        <w:tc>
          <w:tcPr>
            <w:tcW w:w="0" w:type="auto"/>
            <w:gridSpan w:val="3"/>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Vsa razpoložljiva sredstva*</w:t>
            </w:r>
          </w:p>
        </w:tc>
        <w:tc>
          <w:tcPr>
            <w:tcW w:w="0" w:type="auto"/>
            <w:gridSpan w:val="4"/>
            <w:tcBorders>
              <w:top w:val="single" w:sz="8" w:space="0" w:color="auto"/>
              <w:left w:val="nil"/>
              <w:bottom w:val="single" w:sz="8" w:space="0" w:color="auto"/>
              <w:right w:val="single" w:sz="8" w:space="0" w:color="000000"/>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A</w:t>
            </w:r>
          </w:p>
        </w:tc>
        <w:tc>
          <w:tcPr>
            <w:tcW w:w="0" w:type="auto"/>
            <w:gridSpan w:val="4"/>
            <w:tcBorders>
              <w:top w:val="single" w:sz="8" w:space="0" w:color="auto"/>
              <w:left w:val="nil"/>
              <w:bottom w:val="single" w:sz="8" w:space="0" w:color="auto"/>
              <w:right w:val="single" w:sz="8" w:space="0" w:color="000000"/>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B</w:t>
            </w:r>
          </w:p>
        </w:tc>
        <w:tc>
          <w:tcPr>
            <w:tcW w:w="0" w:type="auto"/>
            <w:gridSpan w:val="3"/>
            <w:tcBorders>
              <w:top w:val="single" w:sz="8" w:space="0" w:color="auto"/>
              <w:left w:val="nil"/>
              <w:bottom w:val="single" w:sz="8" w:space="0" w:color="auto"/>
              <w:right w:val="nil"/>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C</w:t>
            </w:r>
          </w:p>
        </w:tc>
        <w:tc>
          <w:tcPr>
            <w:tcW w:w="178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D</w:t>
            </w:r>
          </w:p>
        </w:tc>
      </w:tr>
      <w:tr w:rsidR="00DF4770" w:rsidRPr="006E0441" w:rsidTr="002066CF">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0" w:type="auto"/>
            <w:gridSpan w:val="3"/>
            <w:vMerge/>
            <w:tcBorders>
              <w:top w:val="single" w:sz="8" w:space="0" w:color="auto"/>
              <w:left w:val="single" w:sz="8" w:space="0" w:color="auto"/>
              <w:bottom w:val="single" w:sz="8" w:space="0" w:color="000000"/>
              <w:right w:val="single" w:sz="8" w:space="0" w:color="000000"/>
            </w:tcBorders>
            <w:vAlign w:val="center"/>
            <w:hideMark/>
          </w:tcPr>
          <w:p w:rsidR="00DF4770" w:rsidRPr="006E0441" w:rsidRDefault="00DF4770" w:rsidP="00AD1C70">
            <w:pPr>
              <w:rPr>
                <w:rFonts w:ascii="Calibri" w:hAnsi="Calibri"/>
                <w:b/>
                <w:bCs/>
                <w:color w:val="000000"/>
                <w:sz w:val="14"/>
                <w:szCs w:val="14"/>
              </w:rPr>
            </w:pPr>
          </w:p>
        </w:tc>
        <w:tc>
          <w:tcPr>
            <w:tcW w:w="0" w:type="auto"/>
            <w:gridSpan w:val="4"/>
            <w:tcBorders>
              <w:top w:val="single" w:sz="8" w:space="0" w:color="auto"/>
              <w:left w:val="nil"/>
              <w:bottom w:val="single" w:sz="8" w:space="0" w:color="auto"/>
              <w:right w:val="single" w:sz="8" w:space="0" w:color="000000"/>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Odločitve o podpori**</w:t>
            </w:r>
          </w:p>
        </w:tc>
        <w:tc>
          <w:tcPr>
            <w:tcW w:w="0" w:type="auto"/>
            <w:gridSpan w:val="4"/>
            <w:tcBorders>
              <w:top w:val="single" w:sz="8" w:space="0" w:color="auto"/>
              <w:left w:val="nil"/>
              <w:bottom w:val="single" w:sz="8" w:space="0" w:color="auto"/>
              <w:right w:val="single" w:sz="8" w:space="0" w:color="000000"/>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Potrjene operacije****</w:t>
            </w:r>
          </w:p>
        </w:tc>
        <w:tc>
          <w:tcPr>
            <w:tcW w:w="0" w:type="auto"/>
            <w:gridSpan w:val="3"/>
            <w:tcBorders>
              <w:top w:val="single" w:sz="8" w:space="0" w:color="auto"/>
              <w:left w:val="nil"/>
              <w:bottom w:val="single" w:sz="8" w:space="0" w:color="auto"/>
              <w:right w:val="nil"/>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Izplačila iz državnega proračuna******</w:t>
            </w:r>
          </w:p>
        </w:tc>
        <w:tc>
          <w:tcPr>
            <w:tcW w:w="1780" w:type="dxa"/>
            <w:gridSpan w:val="2"/>
            <w:tcBorders>
              <w:top w:val="single" w:sz="8" w:space="0" w:color="auto"/>
              <w:left w:val="single" w:sz="8" w:space="0" w:color="000000"/>
              <w:bottom w:val="single" w:sz="8" w:space="0" w:color="auto"/>
              <w:right w:val="single" w:sz="8" w:space="0" w:color="000000"/>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Certificirani izdatki (EU del)</w:t>
            </w:r>
          </w:p>
        </w:tc>
      </w:tr>
      <w:tr w:rsidR="00DF4770" w:rsidRPr="006E0441" w:rsidTr="002066CF">
        <w:trPr>
          <w:trHeight w:val="58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EUR</w:t>
            </w:r>
          </w:p>
        </w:tc>
        <w:tc>
          <w:tcPr>
            <w:tcW w:w="987" w:type="dxa"/>
            <w:vMerge w:val="restart"/>
            <w:tcBorders>
              <w:top w:val="nil"/>
              <w:left w:val="single" w:sz="8" w:space="0" w:color="auto"/>
              <w:bottom w:val="single" w:sz="8" w:space="0" w:color="000000"/>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EU del (EUR)</w:t>
            </w:r>
          </w:p>
        </w:tc>
        <w:tc>
          <w:tcPr>
            <w:tcW w:w="604" w:type="dxa"/>
            <w:tcBorders>
              <w:top w:val="nil"/>
              <w:left w:val="nil"/>
              <w:bottom w:val="single" w:sz="8" w:space="0" w:color="auto"/>
              <w:right w:val="nil"/>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EUR***</w:t>
            </w:r>
          </w:p>
        </w:tc>
        <w:tc>
          <w:tcPr>
            <w:tcW w:w="0" w:type="auto"/>
            <w:tcBorders>
              <w:top w:val="nil"/>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EU del (EUR)</w:t>
            </w:r>
          </w:p>
        </w:tc>
        <w:tc>
          <w:tcPr>
            <w:tcW w:w="0" w:type="auto"/>
            <w:tcBorders>
              <w:top w:val="nil"/>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 EU del</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EUR*****</w:t>
            </w:r>
          </w:p>
        </w:tc>
        <w:tc>
          <w:tcPr>
            <w:tcW w:w="0" w:type="auto"/>
            <w:tcBorders>
              <w:top w:val="nil"/>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EU del (EUR)</w:t>
            </w:r>
          </w:p>
        </w:tc>
        <w:tc>
          <w:tcPr>
            <w:tcW w:w="0" w:type="auto"/>
            <w:tcBorders>
              <w:top w:val="nil"/>
              <w:left w:val="nil"/>
              <w:bottom w:val="single" w:sz="8" w:space="0" w:color="auto"/>
              <w:right w:val="nil"/>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 EU del</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EU + SI del (EUR)</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EU del (EUR)</w:t>
            </w:r>
          </w:p>
        </w:tc>
        <w:tc>
          <w:tcPr>
            <w:tcW w:w="0" w:type="auto"/>
            <w:tcBorders>
              <w:top w:val="nil"/>
              <w:left w:val="nil"/>
              <w:bottom w:val="single" w:sz="8" w:space="0" w:color="auto"/>
              <w:right w:val="nil"/>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 EU del</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EUR</w:t>
            </w:r>
          </w:p>
        </w:tc>
        <w:tc>
          <w:tcPr>
            <w:tcW w:w="853" w:type="dxa"/>
            <w:tcBorders>
              <w:top w:val="nil"/>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w:t>
            </w:r>
          </w:p>
        </w:tc>
      </w:tr>
      <w:tr w:rsidR="00DF4770" w:rsidRPr="006E0441" w:rsidTr="002066CF">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0" w:type="auto"/>
            <w:vMerge/>
            <w:tcBorders>
              <w:top w:val="nil"/>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987" w:type="dxa"/>
            <w:vMerge/>
            <w:tcBorders>
              <w:top w:val="nil"/>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604" w:type="dxa"/>
            <w:tcBorders>
              <w:top w:val="nil"/>
              <w:left w:val="nil"/>
              <w:bottom w:val="nil"/>
              <w:right w:val="nil"/>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3/2*100</w:t>
            </w:r>
          </w:p>
        </w:tc>
        <w:tc>
          <w:tcPr>
            <w:tcW w:w="0" w:type="auto"/>
            <w:vMerge/>
            <w:tcBorders>
              <w:top w:val="nil"/>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0" w:type="auto"/>
            <w:tcBorders>
              <w:top w:val="nil"/>
              <w:left w:val="nil"/>
              <w:bottom w:val="nil"/>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5/2*100</w:t>
            </w:r>
          </w:p>
        </w:tc>
        <w:tc>
          <w:tcPr>
            <w:tcW w:w="0" w:type="auto"/>
            <w:vMerge/>
            <w:tcBorders>
              <w:top w:val="nil"/>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0" w:type="auto"/>
            <w:tcBorders>
              <w:top w:val="nil"/>
              <w:left w:val="nil"/>
              <w:bottom w:val="nil"/>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7/3*100</w:t>
            </w:r>
          </w:p>
        </w:tc>
        <w:tc>
          <w:tcPr>
            <w:tcW w:w="0" w:type="auto"/>
            <w:vMerge/>
            <w:tcBorders>
              <w:top w:val="nil"/>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0" w:type="auto"/>
            <w:tcBorders>
              <w:top w:val="nil"/>
              <w:left w:val="nil"/>
              <w:bottom w:val="nil"/>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9/2*100</w:t>
            </w:r>
          </w:p>
        </w:tc>
        <w:tc>
          <w:tcPr>
            <w:tcW w:w="0" w:type="auto"/>
            <w:vMerge/>
            <w:tcBorders>
              <w:top w:val="nil"/>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0" w:type="auto"/>
            <w:tcBorders>
              <w:top w:val="nil"/>
              <w:left w:val="nil"/>
              <w:bottom w:val="nil"/>
              <w:right w:val="nil"/>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11/3*100</w:t>
            </w:r>
          </w:p>
        </w:tc>
        <w:tc>
          <w:tcPr>
            <w:tcW w:w="0" w:type="auto"/>
            <w:vMerge/>
            <w:tcBorders>
              <w:top w:val="nil"/>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0" w:type="auto"/>
            <w:vMerge/>
            <w:tcBorders>
              <w:top w:val="nil"/>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0" w:type="auto"/>
            <w:tcBorders>
              <w:top w:val="nil"/>
              <w:left w:val="nil"/>
              <w:bottom w:val="nil"/>
              <w:right w:val="nil"/>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14/3*100</w:t>
            </w:r>
          </w:p>
        </w:tc>
        <w:tc>
          <w:tcPr>
            <w:tcW w:w="0" w:type="auto"/>
            <w:vMerge/>
            <w:tcBorders>
              <w:top w:val="nil"/>
              <w:left w:val="single" w:sz="8" w:space="0" w:color="auto"/>
              <w:bottom w:val="single" w:sz="8" w:space="0" w:color="000000"/>
              <w:right w:val="single" w:sz="8" w:space="0" w:color="auto"/>
            </w:tcBorders>
            <w:vAlign w:val="center"/>
            <w:hideMark/>
          </w:tcPr>
          <w:p w:rsidR="00DF4770" w:rsidRPr="006E0441" w:rsidRDefault="00DF4770" w:rsidP="00AD1C70">
            <w:pPr>
              <w:rPr>
                <w:rFonts w:ascii="Calibri" w:hAnsi="Calibri"/>
                <w:b/>
                <w:bCs/>
                <w:color w:val="000000"/>
                <w:sz w:val="14"/>
                <w:szCs w:val="14"/>
              </w:rPr>
            </w:pPr>
          </w:p>
        </w:tc>
        <w:tc>
          <w:tcPr>
            <w:tcW w:w="853" w:type="dxa"/>
            <w:tcBorders>
              <w:top w:val="nil"/>
              <w:left w:val="nil"/>
              <w:bottom w:val="nil"/>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16/3*100</w:t>
            </w:r>
          </w:p>
        </w:tc>
      </w:tr>
      <w:tr w:rsidR="00DF4770" w:rsidRPr="006E0441" w:rsidTr="002066CF">
        <w:trPr>
          <w:trHeight w:val="270"/>
        </w:trPr>
        <w:tc>
          <w:tcPr>
            <w:tcW w:w="0" w:type="auto"/>
            <w:tcBorders>
              <w:top w:val="nil"/>
              <w:left w:val="single" w:sz="8" w:space="0" w:color="auto"/>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1</w:t>
            </w:r>
          </w:p>
        </w:tc>
        <w:tc>
          <w:tcPr>
            <w:tcW w:w="0" w:type="auto"/>
            <w:tcBorders>
              <w:top w:val="nil"/>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2</w:t>
            </w:r>
          </w:p>
        </w:tc>
        <w:tc>
          <w:tcPr>
            <w:tcW w:w="987" w:type="dxa"/>
            <w:tcBorders>
              <w:top w:val="nil"/>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3</w:t>
            </w:r>
          </w:p>
        </w:tc>
        <w:tc>
          <w:tcPr>
            <w:tcW w:w="604" w:type="dxa"/>
            <w:tcBorders>
              <w:top w:val="single" w:sz="8" w:space="0" w:color="auto"/>
              <w:left w:val="nil"/>
              <w:bottom w:val="single" w:sz="8" w:space="0" w:color="auto"/>
              <w:right w:val="nil"/>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4</w:t>
            </w:r>
          </w:p>
        </w:tc>
        <w:tc>
          <w:tcPr>
            <w:tcW w:w="0" w:type="auto"/>
            <w:tcBorders>
              <w:top w:val="nil"/>
              <w:left w:val="single" w:sz="8" w:space="0" w:color="auto"/>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5</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6</w:t>
            </w:r>
          </w:p>
        </w:tc>
        <w:tc>
          <w:tcPr>
            <w:tcW w:w="0" w:type="auto"/>
            <w:tcBorders>
              <w:top w:val="nil"/>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7</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8</w:t>
            </w:r>
          </w:p>
        </w:tc>
        <w:tc>
          <w:tcPr>
            <w:tcW w:w="0" w:type="auto"/>
            <w:tcBorders>
              <w:top w:val="nil"/>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9</w:t>
            </w:r>
          </w:p>
        </w:tc>
        <w:tc>
          <w:tcPr>
            <w:tcW w:w="0" w:type="auto"/>
            <w:tcBorders>
              <w:top w:val="single" w:sz="8" w:space="0" w:color="auto"/>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10</w:t>
            </w:r>
          </w:p>
        </w:tc>
        <w:tc>
          <w:tcPr>
            <w:tcW w:w="0" w:type="auto"/>
            <w:tcBorders>
              <w:top w:val="nil"/>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11</w:t>
            </w:r>
          </w:p>
        </w:tc>
        <w:tc>
          <w:tcPr>
            <w:tcW w:w="0" w:type="auto"/>
            <w:tcBorders>
              <w:top w:val="single" w:sz="8" w:space="0" w:color="auto"/>
              <w:left w:val="nil"/>
              <w:bottom w:val="single" w:sz="8" w:space="0" w:color="auto"/>
              <w:right w:val="nil"/>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12</w:t>
            </w:r>
          </w:p>
        </w:tc>
        <w:tc>
          <w:tcPr>
            <w:tcW w:w="0" w:type="auto"/>
            <w:tcBorders>
              <w:top w:val="nil"/>
              <w:left w:val="single" w:sz="8" w:space="0" w:color="auto"/>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13</w:t>
            </w:r>
          </w:p>
        </w:tc>
        <w:tc>
          <w:tcPr>
            <w:tcW w:w="0" w:type="auto"/>
            <w:tcBorders>
              <w:top w:val="nil"/>
              <w:left w:val="nil"/>
              <w:bottom w:val="single" w:sz="8" w:space="0" w:color="auto"/>
              <w:right w:val="nil"/>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14</w:t>
            </w:r>
          </w:p>
        </w:tc>
        <w:tc>
          <w:tcPr>
            <w:tcW w:w="0" w:type="auto"/>
            <w:tcBorders>
              <w:top w:val="single" w:sz="8" w:space="0" w:color="auto"/>
              <w:left w:val="single" w:sz="8" w:space="0" w:color="auto"/>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15</w:t>
            </w:r>
          </w:p>
        </w:tc>
        <w:tc>
          <w:tcPr>
            <w:tcW w:w="0" w:type="auto"/>
            <w:tcBorders>
              <w:top w:val="nil"/>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16</w:t>
            </w:r>
          </w:p>
        </w:tc>
        <w:tc>
          <w:tcPr>
            <w:tcW w:w="853" w:type="dxa"/>
            <w:tcBorders>
              <w:top w:val="single" w:sz="8" w:space="0" w:color="auto"/>
              <w:left w:val="nil"/>
              <w:bottom w:val="single" w:sz="8" w:space="0" w:color="auto"/>
              <w:right w:val="single" w:sz="8" w:space="0" w:color="auto"/>
            </w:tcBorders>
            <w:shd w:val="clear" w:color="000000" w:fill="D9D9D9"/>
            <w:vAlign w:val="center"/>
            <w:hideMark/>
          </w:tcPr>
          <w:p w:rsidR="00DF4770" w:rsidRPr="006E0441" w:rsidRDefault="00DF4770" w:rsidP="00AD1C70">
            <w:pPr>
              <w:jc w:val="center"/>
              <w:rPr>
                <w:rFonts w:ascii="Calibri" w:hAnsi="Calibri"/>
                <w:b/>
                <w:bCs/>
                <w:color w:val="000000"/>
                <w:sz w:val="10"/>
                <w:szCs w:val="10"/>
              </w:rPr>
            </w:pPr>
            <w:r w:rsidRPr="006E0441">
              <w:rPr>
                <w:rFonts w:ascii="Calibri" w:hAnsi="Calibri"/>
                <w:b/>
                <w:bCs/>
                <w:color w:val="000000"/>
                <w:sz w:val="10"/>
                <w:szCs w:val="10"/>
              </w:rPr>
              <w:t>17</w:t>
            </w:r>
          </w:p>
        </w:tc>
      </w:tr>
      <w:tr w:rsidR="00DF4770" w:rsidRPr="006E0441" w:rsidTr="002066CF">
        <w:trPr>
          <w:trHeight w:val="315"/>
        </w:trPr>
        <w:tc>
          <w:tcPr>
            <w:tcW w:w="0" w:type="auto"/>
            <w:tcBorders>
              <w:top w:val="nil"/>
              <w:left w:val="single" w:sz="8" w:space="0" w:color="auto"/>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1</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622.858.564</w:t>
            </w:r>
          </w:p>
        </w:tc>
        <w:tc>
          <w:tcPr>
            <w:tcW w:w="987" w:type="dxa"/>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498.286.850</w:t>
            </w:r>
          </w:p>
        </w:tc>
        <w:tc>
          <w:tcPr>
            <w:tcW w:w="604" w:type="dxa"/>
            <w:tcBorders>
              <w:top w:val="nil"/>
              <w:left w:val="nil"/>
              <w:bottom w:val="nil"/>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683.094.169</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110%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480.166.386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96%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917.971.812</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147%</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416.768.003</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84%</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224.648.077</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188.517.045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38%</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204.999.684</w:t>
            </w:r>
          </w:p>
        </w:tc>
        <w:tc>
          <w:tcPr>
            <w:tcW w:w="853" w:type="dxa"/>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41%</w:t>
            </w:r>
          </w:p>
        </w:tc>
      </w:tr>
      <w:tr w:rsidR="00DF4770" w:rsidRPr="006E0441" w:rsidTr="002066CF">
        <w:trPr>
          <w:trHeight w:val="315"/>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2</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53.736.229</w:t>
            </w:r>
          </w:p>
        </w:tc>
        <w:tc>
          <w:tcPr>
            <w:tcW w:w="987" w:type="dxa"/>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42.988.982</w:t>
            </w:r>
          </w:p>
        </w:tc>
        <w:tc>
          <w:tcPr>
            <w:tcW w:w="604" w:type="dxa"/>
            <w:tcBorders>
              <w:top w:val="single" w:sz="8" w:space="0" w:color="auto"/>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55.301.216</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103%</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44.240.971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103%</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25.829.988</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48%</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20.663.990</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48%</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15.075.975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12.060.642</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28%</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9.208.996</w:t>
            </w:r>
          </w:p>
        </w:tc>
        <w:tc>
          <w:tcPr>
            <w:tcW w:w="853" w:type="dxa"/>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21%</w:t>
            </w:r>
          </w:p>
        </w:tc>
      </w:tr>
      <w:tr w:rsidR="00DF4770" w:rsidRPr="006E0441" w:rsidTr="002066CF">
        <w:trPr>
          <w:trHeight w:val="315"/>
        </w:trPr>
        <w:tc>
          <w:tcPr>
            <w:tcW w:w="0" w:type="auto"/>
            <w:tcBorders>
              <w:top w:val="nil"/>
              <w:left w:val="single" w:sz="8" w:space="0" w:color="auto"/>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3</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585.481.818</w:t>
            </w:r>
          </w:p>
        </w:tc>
        <w:tc>
          <w:tcPr>
            <w:tcW w:w="987" w:type="dxa"/>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427.385.857</w:t>
            </w:r>
          </w:p>
        </w:tc>
        <w:tc>
          <w:tcPr>
            <w:tcW w:w="604" w:type="dxa"/>
            <w:tcBorders>
              <w:top w:val="nil"/>
              <w:left w:val="nil"/>
              <w:bottom w:val="nil"/>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73%</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627.016.951</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107%</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444.282.381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104%</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499.362.767</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85%</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322.058.771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75%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182.713.169</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164.205.312</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38%</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145.145.193</w:t>
            </w:r>
          </w:p>
        </w:tc>
        <w:tc>
          <w:tcPr>
            <w:tcW w:w="853" w:type="dxa"/>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34%</w:t>
            </w:r>
          </w:p>
        </w:tc>
      </w:tr>
      <w:tr w:rsidR="00DF4770" w:rsidRPr="006E0441" w:rsidTr="002066CF">
        <w:trPr>
          <w:trHeight w:val="315"/>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4</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361.637.662</w:t>
            </w:r>
          </w:p>
        </w:tc>
        <w:tc>
          <w:tcPr>
            <w:tcW w:w="987" w:type="dxa"/>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304.640.000</w:t>
            </w:r>
          </w:p>
        </w:tc>
        <w:tc>
          <w:tcPr>
            <w:tcW w:w="604" w:type="dxa"/>
            <w:tcBorders>
              <w:top w:val="single" w:sz="8" w:space="0" w:color="auto"/>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84%</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686.710.737</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190%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235.133.339</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77%</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284.067.038</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79%</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137.816.559</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45%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94.343.225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83.807.414</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28%</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121.712.240</w:t>
            </w:r>
          </w:p>
        </w:tc>
        <w:tc>
          <w:tcPr>
            <w:tcW w:w="853" w:type="dxa"/>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40%</w:t>
            </w:r>
          </w:p>
        </w:tc>
      </w:tr>
      <w:tr w:rsidR="00DF4770" w:rsidRPr="006E0441" w:rsidTr="002066CF">
        <w:trPr>
          <w:trHeight w:val="315"/>
        </w:trPr>
        <w:tc>
          <w:tcPr>
            <w:tcW w:w="0" w:type="auto"/>
            <w:tcBorders>
              <w:top w:val="nil"/>
              <w:left w:val="single" w:sz="8" w:space="0" w:color="auto"/>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5</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111.858.533</w:t>
            </w:r>
          </w:p>
        </w:tc>
        <w:tc>
          <w:tcPr>
            <w:tcW w:w="987" w:type="dxa"/>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92.805.685</w:t>
            </w:r>
          </w:p>
        </w:tc>
        <w:tc>
          <w:tcPr>
            <w:tcW w:w="604" w:type="dxa"/>
            <w:tcBorders>
              <w:top w:val="nil"/>
              <w:left w:val="nil"/>
              <w:bottom w:val="nil"/>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83%</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107.606.372</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96%</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77.118.623</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83%</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87.217.469</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78%</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63.194.656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68%</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11.325.639</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9.280.321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sz w:val="14"/>
                <w:szCs w:val="14"/>
              </w:rPr>
            </w:pPr>
            <w:r w:rsidRPr="006E0441">
              <w:rPr>
                <w:rFonts w:ascii="Calibri" w:hAnsi="Calibri"/>
                <w:sz w:val="14"/>
                <w:szCs w:val="14"/>
              </w:rPr>
              <w:t>10%</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sz w:val="14"/>
                <w:szCs w:val="14"/>
              </w:rPr>
            </w:pPr>
            <w:r w:rsidRPr="006E0441">
              <w:rPr>
                <w:rFonts w:ascii="Calibri" w:hAnsi="Calibri"/>
                <w:sz w:val="14"/>
                <w:szCs w:val="14"/>
              </w:rPr>
              <w:t>5.845.691</w:t>
            </w:r>
          </w:p>
        </w:tc>
        <w:tc>
          <w:tcPr>
            <w:tcW w:w="853" w:type="dxa"/>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6%</w:t>
            </w:r>
          </w:p>
        </w:tc>
      </w:tr>
      <w:tr w:rsidR="00DF4770" w:rsidRPr="006E0441" w:rsidTr="002066CF">
        <w:trPr>
          <w:trHeight w:val="315"/>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6</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520.866.427</w:t>
            </w:r>
          </w:p>
        </w:tc>
        <w:tc>
          <w:tcPr>
            <w:tcW w:w="987" w:type="dxa"/>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433.421.915</w:t>
            </w:r>
          </w:p>
        </w:tc>
        <w:tc>
          <w:tcPr>
            <w:tcW w:w="604" w:type="dxa"/>
            <w:tcBorders>
              <w:top w:val="single" w:sz="8" w:space="0" w:color="auto"/>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83%</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648.556.105</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125%</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352.927.561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358.476.116</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69%</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270.048.397</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62%</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209.047.982</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175.852.547</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333333"/>
                <w:sz w:val="14"/>
                <w:szCs w:val="14"/>
              </w:rPr>
            </w:pPr>
            <w:r w:rsidRPr="006E0441">
              <w:rPr>
                <w:rFonts w:ascii="Calibri" w:hAnsi="Calibri"/>
                <w:color w:val="333333"/>
                <w:sz w:val="14"/>
                <w:szCs w:val="14"/>
              </w:rPr>
              <w:t>41%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163.367.252</w:t>
            </w:r>
          </w:p>
        </w:tc>
        <w:tc>
          <w:tcPr>
            <w:tcW w:w="853" w:type="dxa"/>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38%</w:t>
            </w:r>
          </w:p>
        </w:tc>
      </w:tr>
      <w:tr w:rsidR="00DF4770" w:rsidRPr="006E0441" w:rsidTr="002066CF">
        <w:trPr>
          <w:trHeight w:val="315"/>
        </w:trPr>
        <w:tc>
          <w:tcPr>
            <w:tcW w:w="0" w:type="auto"/>
            <w:tcBorders>
              <w:top w:val="nil"/>
              <w:left w:val="single" w:sz="8" w:space="0" w:color="auto"/>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7</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398.005.621</w:t>
            </w:r>
          </w:p>
        </w:tc>
        <w:tc>
          <w:tcPr>
            <w:tcW w:w="987" w:type="dxa"/>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331.527.572</w:t>
            </w:r>
          </w:p>
        </w:tc>
        <w:tc>
          <w:tcPr>
            <w:tcW w:w="604" w:type="dxa"/>
            <w:tcBorders>
              <w:top w:val="nil"/>
              <w:left w:val="nil"/>
              <w:bottom w:val="nil"/>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83%</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677.681.590</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170%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270.010.986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337.536.252</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85%</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189.423.686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57%</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145.555.896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133.546.669</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333333"/>
                <w:sz w:val="14"/>
                <w:szCs w:val="14"/>
              </w:rPr>
            </w:pPr>
            <w:r w:rsidRPr="006E0441">
              <w:rPr>
                <w:rFonts w:ascii="Calibri" w:hAnsi="Calibri"/>
                <w:color w:val="333333"/>
                <w:sz w:val="14"/>
                <w:szCs w:val="14"/>
              </w:rPr>
              <w:t>40%</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120.908.413</w:t>
            </w:r>
          </w:p>
        </w:tc>
        <w:tc>
          <w:tcPr>
            <w:tcW w:w="853" w:type="dxa"/>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36%</w:t>
            </w:r>
          </w:p>
        </w:tc>
      </w:tr>
      <w:tr w:rsidR="00DF4770" w:rsidRPr="006E0441" w:rsidTr="002066CF">
        <w:trPr>
          <w:trHeight w:val="315"/>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8</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361.409.953</w:t>
            </w:r>
          </w:p>
        </w:tc>
        <w:tc>
          <w:tcPr>
            <w:tcW w:w="987" w:type="dxa"/>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290.970.269</w:t>
            </w:r>
          </w:p>
        </w:tc>
        <w:tc>
          <w:tcPr>
            <w:tcW w:w="604" w:type="dxa"/>
            <w:tcBorders>
              <w:top w:val="single" w:sz="8" w:space="0" w:color="auto"/>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81%</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477.320.440</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132%</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403.219.510</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139%</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359.956.572</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290.749.766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100%</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190.376.598</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154.208.769</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333333"/>
                <w:sz w:val="14"/>
                <w:szCs w:val="14"/>
              </w:rPr>
            </w:pPr>
            <w:r w:rsidRPr="006E0441">
              <w:rPr>
                <w:rFonts w:ascii="Calibri" w:hAnsi="Calibri"/>
                <w:color w:val="333333"/>
                <w:sz w:val="14"/>
                <w:szCs w:val="14"/>
              </w:rPr>
              <w:t>53%</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111.435.804</w:t>
            </w:r>
          </w:p>
        </w:tc>
        <w:tc>
          <w:tcPr>
            <w:tcW w:w="853" w:type="dxa"/>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38%</w:t>
            </w:r>
          </w:p>
        </w:tc>
      </w:tr>
      <w:tr w:rsidR="00DF4770" w:rsidRPr="006E0441" w:rsidTr="002066CF">
        <w:trPr>
          <w:trHeight w:val="315"/>
        </w:trPr>
        <w:tc>
          <w:tcPr>
            <w:tcW w:w="0" w:type="auto"/>
            <w:tcBorders>
              <w:top w:val="nil"/>
              <w:left w:val="single" w:sz="8" w:space="0" w:color="auto"/>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9</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288.219.618</w:t>
            </w:r>
          </w:p>
        </w:tc>
        <w:tc>
          <w:tcPr>
            <w:tcW w:w="987" w:type="dxa"/>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230.575.691</w:t>
            </w:r>
          </w:p>
        </w:tc>
        <w:tc>
          <w:tcPr>
            <w:tcW w:w="604" w:type="dxa"/>
            <w:tcBorders>
              <w:top w:val="nil"/>
              <w:left w:val="nil"/>
              <w:bottom w:val="nil"/>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286.075.971</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99%</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233.992.218</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185.902.474</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65%</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141.918.168</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62%</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102.313.075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81.847.004</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333333"/>
                <w:sz w:val="14"/>
                <w:szCs w:val="14"/>
              </w:rPr>
            </w:pPr>
            <w:r w:rsidRPr="006E0441">
              <w:rPr>
                <w:rFonts w:ascii="Calibri" w:hAnsi="Calibri"/>
                <w:color w:val="333333"/>
                <w:sz w:val="14"/>
                <w:szCs w:val="14"/>
              </w:rPr>
              <w:t>35%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63.473.102</w:t>
            </w:r>
          </w:p>
        </w:tc>
        <w:tc>
          <w:tcPr>
            <w:tcW w:w="853" w:type="dxa"/>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28%</w:t>
            </w:r>
          </w:p>
        </w:tc>
      </w:tr>
      <w:tr w:rsidR="00DF4770" w:rsidRPr="006E0441" w:rsidTr="002066CF">
        <w:trPr>
          <w:trHeight w:val="315"/>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10</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291.100.668</w:t>
            </w:r>
          </w:p>
        </w:tc>
        <w:tc>
          <w:tcPr>
            <w:tcW w:w="987" w:type="dxa"/>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232.880.534</w:t>
            </w:r>
          </w:p>
        </w:tc>
        <w:tc>
          <w:tcPr>
            <w:tcW w:w="604" w:type="dxa"/>
            <w:tcBorders>
              <w:top w:val="single" w:sz="8" w:space="0" w:color="auto"/>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309.501.106</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106%</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236.283.843</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276.260.437</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95%</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221.008.350</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95%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169.986.371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135.986.286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333333"/>
                <w:sz w:val="14"/>
                <w:szCs w:val="14"/>
              </w:rPr>
            </w:pPr>
            <w:r w:rsidRPr="006E0441">
              <w:rPr>
                <w:rFonts w:ascii="Calibri" w:hAnsi="Calibri"/>
                <w:color w:val="333333"/>
                <w:sz w:val="14"/>
                <w:szCs w:val="14"/>
              </w:rPr>
              <w:t>58%</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112.063.156</w:t>
            </w:r>
          </w:p>
        </w:tc>
        <w:tc>
          <w:tcPr>
            <w:tcW w:w="853" w:type="dxa"/>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48%</w:t>
            </w:r>
          </w:p>
        </w:tc>
      </w:tr>
      <w:tr w:rsidR="00DF4770" w:rsidRPr="006E0441" w:rsidTr="002066CF">
        <w:trPr>
          <w:trHeight w:val="315"/>
        </w:trPr>
        <w:tc>
          <w:tcPr>
            <w:tcW w:w="0" w:type="auto"/>
            <w:tcBorders>
              <w:top w:val="nil"/>
              <w:left w:val="single" w:sz="8" w:space="0" w:color="auto"/>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11</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78.592.476</w:t>
            </w:r>
          </w:p>
        </w:tc>
        <w:tc>
          <w:tcPr>
            <w:tcW w:w="987" w:type="dxa"/>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62.873.980</w:t>
            </w:r>
          </w:p>
        </w:tc>
        <w:tc>
          <w:tcPr>
            <w:tcW w:w="604" w:type="dxa"/>
            <w:tcBorders>
              <w:top w:val="nil"/>
              <w:left w:val="nil"/>
              <w:bottom w:val="nil"/>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85.719.461</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109%</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63.392.905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101%</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82.025.893</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104%</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61.419.283</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98%</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35.518.280</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28.414.344</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333333"/>
                <w:sz w:val="14"/>
                <w:szCs w:val="14"/>
              </w:rPr>
            </w:pPr>
            <w:r w:rsidRPr="006E0441">
              <w:rPr>
                <w:rFonts w:ascii="Calibri" w:hAnsi="Calibri"/>
                <w:color w:val="333333"/>
                <w:sz w:val="14"/>
                <w:szCs w:val="14"/>
              </w:rPr>
              <w:t>45%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21.915.023</w:t>
            </w:r>
          </w:p>
        </w:tc>
        <w:tc>
          <w:tcPr>
            <w:tcW w:w="853" w:type="dxa"/>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35%</w:t>
            </w:r>
          </w:p>
        </w:tc>
      </w:tr>
      <w:tr w:rsidR="00DF4770" w:rsidRPr="006E0441" w:rsidTr="002066CF">
        <w:trPr>
          <w:trHeight w:val="315"/>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12</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105.337.690</w:t>
            </w:r>
          </w:p>
        </w:tc>
        <w:tc>
          <w:tcPr>
            <w:tcW w:w="987" w:type="dxa"/>
            <w:tcBorders>
              <w:top w:val="single" w:sz="8" w:space="0" w:color="auto"/>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89.537.036</w:t>
            </w:r>
          </w:p>
        </w:tc>
        <w:tc>
          <w:tcPr>
            <w:tcW w:w="604" w:type="dxa"/>
            <w:tcBorders>
              <w:top w:val="single" w:sz="8" w:space="0" w:color="auto"/>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85%</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105.271.905</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89.481.119</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100%</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105.271.949</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89.481.157</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100%</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59.054.166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50.194.633</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333333"/>
                <w:sz w:val="14"/>
                <w:szCs w:val="14"/>
              </w:rPr>
            </w:pPr>
            <w:r w:rsidRPr="006E0441">
              <w:rPr>
                <w:rFonts w:ascii="Calibri" w:hAnsi="Calibri"/>
                <w:color w:val="333333"/>
                <w:sz w:val="14"/>
                <w:szCs w:val="14"/>
              </w:rPr>
              <w:t>56%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39.110.589</w:t>
            </w:r>
          </w:p>
        </w:tc>
        <w:tc>
          <w:tcPr>
            <w:tcW w:w="853" w:type="dxa"/>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44%</w:t>
            </w:r>
          </w:p>
        </w:tc>
      </w:tr>
      <w:tr w:rsidR="00DF4770" w:rsidRPr="006E0441" w:rsidTr="002066CF">
        <w:trPr>
          <w:trHeight w:val="315"/>
        </w:trPr>
        <w:tc>
          <w:tcPr>
            <w:tcW w:w="0" w:type="auto"/>
            <w:tcBorders>
              <w:top w:val="nil"/>
              <w:left w:val="single" w:sz="8" w:space="0" w:color="auto"/>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13</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ind w:firstLineChars="100" w:firstLine="140"/>
              <w:jc w:val="right"/>
              <w:rPr>
                <w:rFonts w:ascii="Calibri" w:hAnsi="Calibri"/>
                <w:color w:val="000000"/>
                <w:sz w:val="14"/>
                <w:szCs w:val="14"/>
              </w:rPr>
            </w:pPr>
            <w:r w:rsidRPr="006E0441">
              <w:rPr>
                <w:rFonts w:ascii="Calibri" w:hAnsi="Calibri"/>
                <w:color w:val="000000"/>
                <w:sz w:val="14"/>
                <w:szCs w:val="14"/>
              </w:rPr>
              <w:t>21.453.139</w:t>
            </w:r>
          </w:p>
        </w:tc>
        <w:tc>
          <w:tcPr>
            <w:tcW w:w="987" w:type="dxa"/>
            <w:tcBorders>
              <w:top w:val="nil"/>
              <w:left w:val="nil"/>
              <w:bottom w:val="nil"/>
              <w:right w:val="single" w:sz="8" w:space="0" w:color="auto"/>
            </w:tcBorders>
            <w:shd w:val="clear" w:color="auto" w:fill="auto"/>
            <w:noWrap/>
            <w:vAlign w:val="center"/>
            <w:hideMark/>
          </w:tcPr>
          <w:p w:rsidR="00DF4770" w:rsidRPr="006E0441" w:rsidRDefault="00DF4770" w:rsidP="00AD1C70">
            <w:pPr>
              <w:ind w:firstLineChars="100" w:firstLine="140"/>
              <w:jc w:val="right"/>
              <w:rPr>
                <w:rFonts w:ascii="Calibri" w:hAnsi="Calibri"/>
                <w:color w:val="000000"/>
                <w:sz w:val="14"/>
                <w:szCs w:val="14"/>
              </w:rPr>
            </w:pPr>
            <w:r w:rsidRPr="006E0441">
              <w:rPr>
                <w:rFonts w:ascii="Calibri" w:hAnsi="Calibri"/>
                <w:color w:val="000000"/>
                <w:sz w:val="14"/>
                <w:szCs w:val="14"/>
              </w:rPr>
              <w:t>17.162.510</w:t>
            </w:r>
          </w:p>
        </w:tc>
        <w:tc>
          <w:tcPr>
            <w:tcW w:w="604" w:type="dxa"/>
            <w:tcBorders>
              <w:top w:val="nil"/>
              <w:left w:val="nil"/>
              <w:bottom w:val="nil"/>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80%</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20.684.107</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96%</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16.547.285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96%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20.684.107</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96%</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16.547.285</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96%</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11.481.754</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9.185.568</w:t>
            </w:r>
          </w:p>
        </w:tc>
        <w:tc>
          <w:tcPr>
            <w:tcW w:w="0" w:type="auto"/>
            <w:tcBorders>
              <w:top w:val="nil"/>
              <w:left w:val="nil"/>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333333"/>
                <w:sz w:val="14"/>
                <w:szCs w:val="14"/>
              </w:rPr>
            </w:pPr>
            <w:r w:rsidRPr="006E0441">
              <w:rPr>
                <w:rFonts w:ascii="Calibri" w:hAnsi="Calibri"/>
                <w:color w:val="333333"/>
                <w:sz w:val="14"/>
                <w:szCs w:val="14"/>
              </w:rPr>
              <w:t>54%</w:t>
            </w:r>
          </w:p>
        </w:tc>
        <w:tc>
          <w:tcPr>
            <w:tcW w:w="0" w:type="auto"/>
            <w:tcBorders>
              <w:top w:val="nil"/>
              <w:left w:val="nil"/>
              <w:bottom w:val="single" w:sz="8" w:space="0" w:color="auto"/>
              <w:right w:val="nil"/>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7.673.291</w:t>
            </w:r>
          </w:p>
        </w:tc>
        <w:tc>
          <w:tcPr>
            <w:tcW w:w="853" w:type="dxa"/>
            <w:tcBorders>
              <w:top w:val="nil"/>
              <w:left w:val="single" w:sz="8" w:space="0" w:color="auto"/>
              <w:bottom w:val="single" w:sz="8" w:space="0" w:color="auto"/>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45%</w:t>
            </w:r>
          </w:p>
        </w:tc>
      </w:tr>
      <w:tr w:rsidR="00DF4770" w:rsidRPr="006E0441" w:rsidTr="002066CF">
        <w:trPr>
          <w:trHeight w:val="315"/>
        </w:trPr>
        <w:tc>
          <w:tcPr>
            <w:tcW w:w="0" w:type="auto"/>
            <w:tcBorders>
              <w:top w:val="single" w:sz="8" w:space="0" w:color="auto"/>
              <w:left w:val="single" w:sz="8" w:space="0" w:color="auto"/>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14</w:t>
            </w:r>
          </w:p>
        </w:tc>
        <w:tc>
          <w:tcPr>
            <w:tcW w:w="0" w:type="auto"/>
            <w:tcBorders>
              <w:top w:val="single" w:sz="8" w:space="0" w:color="auto"/>
              <w:left w:val="nil"/>
              <w:bottom w:val="nil"/>
              <w:right w:val="single" w:sz="8" w:space="0" w:color="auto"/>
            </w:tcBorders>
            <w:shd w:val="clear" w:color="auto" w:fill="auto"/>
            <w:noWrap/>
            <w:vAlign w:val="center"/>
            <w:hideMark/>
          </w:tcPr>
          <w:p w:rsidR="00DF4770" w:rsidRPr="006E0441" w:rsidRDefault="00DF4770" w:rsidP="00AD1C70">
            <w:pPr>
              <w:ind w:firstLineChars="100" w:firstLine="140"/>
              <w:jc w:val="right"/>
              <w:rPr>
                <w:rFonts w:ascii="Calibri" w:hAnsi="Calibri"/>
                <w:color w:val="000000"/>
                <w:sz w:val="14"/>
                <w:szCs w:val="14"/>
              </w:rPr>
            </w:pPr>
            <w:r w:rsidRPr="006E0441">
              <w:rPr>
                <w:rFonts w:ascii="Calibri" w:hAnsi="Calibri"/>
                <w:color w:val="000000"/>
                <w:sz w:val="14"/>
                <w:szCs w:val="14"/>
              </w:rPr>
              <w:t>16.085.056</w:t>
            </w:r>
          </w:p>
        </w:tc>
        <w:tc>
          <w:tcPr>
            <w:tcW w:w="987" w:type="dxa"/>
            <w:tcBorders>
              <w:top w:val="single" w:sz="8" w:space="0" w:color="auto"/>
              <w:left w:val="nil"/>
              <w:bottom w:val="nil"/>
              <w:right w:val="single" w:sz="8" w:space="0" w:color="auto"/>
            </w:tcBorders>
            <w:shd w:val="clear" w:color="auto" w:fill="auto"/>
            <w:noWrap/>
            <w:vAlign w:val="center"/>
            <w:hideMark/>
          </w:tcPr>
          <w:p w:rsidR="00DF4770" w:rsidRPr="006E0441" w:rsidRDefault="00DF4770" w:rsidP="00AD1C70">
            <w:pPr>
              <w:ind w:firstLineChars="100" w:firstLine="140"/>
              <w:jc w:val="right"/>
              <w:rPr>
                <w:rFonts w:ascii="Calibri" w:hAnsi="Calibri"/>
                <w:color w:val="000000"/>
                <w:sz w:val="14"/>
                <w:szCs w:val="14"/>
              </w:rPr>
            </w:pPr>
            <w:r w:rsidRPr="006E0441">
              <w:rPr>
                <w:rFonts w:ascii="Calibri" w:hAnsi="Calibri"/>
                <w:color w:val="000000"/>
                <w:sz w:val="14"/>
                <w:szCs w:val="14"/>
              </w:rPr>
              <w:t>12.868.044</w:t>
            </w:r>
          </w:p>
        </w:tc>
        <w:tc>
          <w:tcPr>
            <w:tcW w:w="604" w:type="dxa"/>
            <w:tcBorders>
              <w:top w:val="single" w:sz="8" w:space="0" w:color="auto"/>
              <w:left w:val="nil"/>
              <w:bottom w:val="nil"/>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80%</w:t>
            </w:r>
          </w:p>
        </w:tc>
        <w:tc>
          <w:tcPr>
            <w:tcW w:w="0" w:type="auto"/>
            <w:tcBorders>
              <w:top w:val="nil"/>
              <w:left w:val="single" w:sz="8" w:space="0" w:color="auto"/>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17.384.419</w:t>
            </w:r>
          </w:p>
        </w:tc>
        <w:tc>
          <w:tcPr>
            <w:tcW w:w="0" w:type="auto"/>
            <w:tcBorders>
              <w:top w:val="nil"/>
              <w:left w:val="nil"/>
              <w:bottom w:val="nil"/>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108%</w:t>
            </w:r>
          </w:p>
        </w:tc>
        <w:tc>
          <w:tcPr>
            <w:tcW w:w="0" w:type="auto"/>
            <w:tcBorders>
              <w:top w:val="nil"/>
              <w:left w:val="single" w:sz="8" w:space="0" w:color="auto"/>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13.907.535</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108%</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17.002.277</w:t>
            </w:r>
          </w:p>
        </w:tc>
        <w:tc>
          <w:tcPr>
            <w:tcW w:w="0" w:type="auto"/>
            <w:tcBorders>
              <w:top w:val="nil"/>
              <w:left w:val="nil"/>
              <w:bottom w:val="nil"/>
              <w:right w:val="nil"/>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106%</w:t>
            </w:r>
          </w:p>
        </w:tc>
        <w:tc>
          <w:tcPr>
            <w:tcW w:w="0" w:type="auto"/>
            <w:tcBorders>
              <w:top w:val="nil"/>
              <w:left w:val="single" w:sz="8" w:space="0" w:color="auto"/>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13.601.821</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106%</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9.515.682</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color w:val="333333"/>
                <w:sz w:val="14"/>
                <w:szCs w:val="14"/>
              </w:rPr>
            </w:pPr>
            <w:r w:rsidRPr="006E0441">
              <w:rPr>
                <w:rFonts w:ascii="Calibri" w:hAnsi="Calibri"/>
                <w:color w:val="333333"/>
                <w:sz w:val="14"/>
                <w:szCs w:val="14"/>
              </w:rPr>
              <w:t>7.610.878</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333333"/>
                <w:sz w:val="14"/>
                <w:szCs w:val="14"/>
              </w:rPr>
            </w:pPr>
            <w:r w:rsidRPr="006E0441">
              <w:rPr>
                <w:rFonts w:ascii="Calibri" w:hAnsi="Calibri"/>
                <w:color w:val="333333"/>
                <w:sz w:val="14"/>
                <w:szCs w:val="14"/>
              </w:rPr>
              <w:t>59%</w:t>
            </w:r>
          </w:p>
        </w:tc>
        <w:tc>
          <w:tcPr>
            <w:tcW w:w="0" w:type="auto"/>
            <w:tcBorders>
              <w:top w:val="nil"/>
              <w:left w:val="nil"/>
              <w:bottom w:val="nil"/>
              <w:right w:val="single" w:sz="8" w:space="0" w:color="auto"/>
            </w:tcBorders>
            <w:shd w:val="clear" w:color="auto" w:fill="auto"/>
            <w:noWrap/>
            <w:vAlign w:val="center"/>
            <w:hideMark/>
          </w:tcPr>
          <w:p w:rsidR="00DF4770" w:rsidRPr="006E0441" w:rsidRDefault="00DF4770" w:rsidP="00AD1C70">
            <w:pPr>
              <w:jc w:val="right"/>
              <w:rPr>
                <w:rFonts w:ascii="Calibri" w:hAnsi="Calibri"/>
                <w:color w:val="000000"/>
                <w:sz w:val="14"/>
                <w:szCs w:val="14"/>
              </w:rPr>
            </w:pPr>
            <w:r w:rsidRPr="006E0441">
              <w:rPr>
                <w:rFonts w:ascii="Calibri" w:hAnsi="Calibri"/>
                <w:color w:val="000000"/>
                <w:sz w:val="14"/>
                <w:szCs w:val="14"/>
              </w:rPr>
              <w:t>6.133.461</w:t>
            </w:r>
          </w:p>
        </w:tc>
        <w:tc>
          <w:tcPr>
            <w:tcW w:w="853" w:type="dxa"/>
            <w:tcBorders>
              <w:top w:val="nil"/>
              <w:left w:val="nil"/>
              <w:bottom w:val="nil"/>
              <w:right w:val="single" w:sz="8" w:space="0" w:color="auto"/>
            </w:tcBorders>
            <w:shd w:val="clear" w:color="auto" w:fill="auto"/>
            <w:noWrap/>
            <w:vAlign w:val="center"/>
            <w:hideMark/>
          </w:tcPr>
          <w:p w:rsidR="00DF4770" w:rsidRPr="006E0441" w:rsidRDefault="00DF4770" w:rsidP="00AD1C70">
            <w:pPr>
              <w:jc w:val="center"/>
              <w:rPr>
                <w:rFonts w:ascii="Calibri" w:hAnsi="Calibri"/>
                <w:color w:val="000000"/>
                <w:sz w:val="14"/>
                <w:szCs w:val="14"/>
              </w:rPr>
            </w:pPr>
            <w:r w:rsidRPr="006E0441">
              <w:rPr>
                <w:rFonts w:ascii="Calibri" w:hAnsi="Calibri"/>
                <w:color w:val="000000"/>
                <w:sz w:val="14"/>
                <w:szCs w:val="14"/>
              </w:rPr>
              <w:t>48%</w:t>
            </w:r>
          </w:p>
        </w:tc>
      </w:tr>
      <w:tr w:rsidR="00DF4770" w:rsidRPr="006E0441" w:rsidTr="002066CF">
        <w:trPr>
          <w:trHeight w:val="315"/>
        </w:trPr>
        <w:tc>
          <w:tcPr>
            <w:tcW w:w="0" w:type="auto"/>
            <w:tcBorders>
              <w:top w:val="single" w:sz="8" w:space="0" w:color="auto"/>
              <w:left w:val="single" w:sz="8" w:space="0" w:color="auto"/>
              <w:bottom w:val="single" w:sz="8" w:space="0" w:color="auto"/>
              <w:right w:val="nil"/>
            </w:tcBorders>
            <w:shd w:val="clear" w:color="000000" w:fill="D9D9D9"/>
            <w:noWrap/>
            <w:vAlign w:val="center"/>
            <w:hideMark/>
          </w:tcPr>
          <w:p w:rsidR="00DF4770" w:rsidRPr="006E0441" w:rsidRDefault="00DF4770" w:rsidP="00AD1C70">
            <w:pPr>
              <w:jc w:val="right"/>
              <w:rPr>
                <w:rFonts w:ascii="Arial" w:hAnsi="Arial" w:cs="Arial"/>
                <w:b/>
                <w:bCs/>
                <w:color w:val="000000"/>
                <w:sz w:val="14"/>
                <w:szCs w:val="14"/>
              </w:rPr>
            </w:pPr>
            <w:r w:rsidRPr="006E0441">
              <w:rPr>
                <w:rFonts w:ascii="Arial" w:hAnsi="Arial" w:cs="Arial"/>
                <w:b/>
                <w:bCs/>
                <w:color w:val="000000"/>
                <w:sz w:val="14"/>
                <w:szCs w:val="14"/>
              </w:rPr>
              <w:t>Skupaj OP</w:t>
            </w:r>
          </w:p>
        </w:tc>
        <w:tc>
          <w:tcPr>
            <w:tcW w:w="0" w:type="auto"/>
            <w:tcBorders>
              <w:top w:val="single" w:sz="8" w:space="0" w:color="auto"/>
              <w:left w:val="single" w:sz="8" w:space="0" w:color="auto"/>
              <w:bottom w:val="single" w:sz="8" w:space="0" w:color="auto"/>
              <w:right w:val="nil"/>
            </w:tcBorders>
            <w:shd w:val="clear" w:color="000000" w:fill="D9D9D9"/>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3.816.643.454</w:t>
            </w:r>
          </w:p>
        </w:tc>
        <w:tc>
          <w:tcPr>
            <w:tcW w:w="987" w:type="dxa"/>
            <w:tcBorders>
              <w:top w:val="single" w:sz="8" w:space="0" w:color="auto"/>
              <w:left w:val="single" w:sz="8" w:space="0" w:color="auto"/>
              <w:bottom w:val="single" w:sz="8" w:space="0" w:color="auto"/>
              <w:right w:val="nil"/>
            </w:tcBorders>
            <w:shd w:val="clear" w:color="000000" w:fill="D9D9D9"/>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3.067.924.925</w:t>
            </w:r>
          </w:p>
        </w:tc>
        <w:tc>
          <w:tcPr>
            <w:tcW w:w="604" w:type="dxa"/>
            <w:tcBorders>
              <w:top w:val="single" w:sz="8" w:space="0" w:color="auto"/>
              <w:left w:val="single" w:sz="8" w:space="0" w:color="auto"/>
              <w:bottom w:val="single" w:sz="8" w:space="0" w:color="auto"/>
              <w:right w:val="nil"/>
            </w:tcBorders>
            <w:shd w:val="clear" w:color="000000" w:fill="D9D9D9"/>
            <w:noWrap/>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80%</w:t>
            </w:r>
          </w:p>
        </w:tc>
        <w:tc>
          <w:tcPr>
            <w:tcW w:w="0" w:type="auto"/>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4.787.924.548</w:t>
            </w:r>
          </w:p>
        </w:tc>
        <w:tc>
          <w:tcPr>
            <w:tcW w:w="0" w:type="auto"/>
            <w:tcBorders>
              <w:top w:val="single" w:sz="8" w:space="0" w:color="auto"/>
              <w:left w:val="nil"/>
              <w:bottom w:val="single" w:sz="8" w:space="0" w:color="auto"/>
              <w:right w:val="nil"/>
            </w:tcBorders>
            <w:shd w:val="clear" w:color="000000" w:fill="D9D9D9"/>
            <w:noWrap/>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125%</w:t>
            </w:r>
          </w:p>
        </w:tc>
        <w:tc>
          <w:tcPr>
            <w:tcW w:w="0" w:type="auto"/>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2.960.704.662</w:t>
            </w:r>
          </w:p>
        </w:tc>
        <w:tc>
          <w:tcPr>
            <w:tcW w:w="0" w:type="auto"/>
            <w:tcBorders>
              <w:top w:val="single" w:sz="8" w:space="0" w:color="auto"/>
              <w:left w:val="nil"/>
              <w:bottom w:val="single" w:sz="8" w:space="0" w:color="auto"/>
              <w:right w:val="single" w:sz="8" w:space="0" w:color="auto"/>
            </w:tcBorders>
            <w:shd w:val="clear" w:color="000000" w:fill="D9D9D9"/>
            <w:noWrap/>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97%</w:t>
            </w:r>
          </w:p>
        </w:tc>
        <w:tc>
          <w:tcPr>
            <w:tcW w:w="0" w:type="auto"/>
            <w:tcBorders>
              <w:top w:val="single" w:sz="8" w:space="0" w:color="auto"/>
              <w:left w:val="nil"/>
              <w:bottom w:val="single" w:sz="8" w:space="0" w:color="auto"/>
              <w:right w:val="single" w:sz="8" w:space="0" w:color="auto"/>
            </w:tcBorders>
            <w:shd w:val="clear" w:color="000000" w:fill="D9D9D9"/>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3.557.565.152</w:t>
            </w:r>
          </w:p>
        </w:tc>
        <w:tc>
          <w:tcPr>
            <w:tcW w:w="0" w:type="auto"/>
            <w:tcBorders>
              <w:top w:val="single" w:sz="8" w:space="0" w:color="auto"/>
              <w:left w:val="nil"/>
              <w:bottom w:val="single" w:sz="8" w:space="0" w:color="auto"/>
              <w:right w:val="nil"/>
            </w:tcBorders>
            <w:shd w:val="clear" w:color="000000" w:fill="D9D9D9"/>
            <w:noWrap/>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93%</w:t>
            </w:r>
          </w:p>
        </w:tc>
        <w:tc>
          <w:tcPr>
            <w:tcW w:w="0" w:type="auto"/>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2.254.699.891</w:t>
            </w:r>
          </w:p>
        </w:tc>
        <w:tc>
          <w:tcPr>
            <w:tcW w:w="0" w:type="auto"/>
            <w:tcBorders>
              <w:top w:val="single" w:sz="8" w:space="0" w:color="auto"/>
              <w:left w:val="nil"/>
              <w:bottom w:val="single" w:sz="8" w:space="0" w:color="auto"/>
              <w:right w:val="single" w:sz="8" w:space="0" w:color="auto"/>
            </w:tcBorders>
            <w:shd w:val="clear" w:color="000000" w:fill="D9D9D9"/>
            <w:noWrap/>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73%</w:t>
            </w:r>
          </w:p>
        </w:tc>
        <w:tc>
          <w:tcPr>
            <w:tcW w:w="0" w:type="auto"/>
            <w:tcBorders>
              <w:top w:val="single" w:sz="8" w:space="0" w:color="auto"/>
              <w:left w:val="nil"/>
              <w:bottom w:val="single" w:sz="8" w:space="0" w:color="auto"/>
              <w:right w:val="single" w:sz="8" w:space="0" w:color="auto"/>
            </w:tcBorders>
            <w:shd w:val="clear" w:color="000000" w:fill="D9D9D9"/>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1.460.955.889</w:t>
            </w:r>
          </w:p>
        </w:tc>
        <w:tc>
          <w:tcPr>
            <w:tcW w:w="0" w:type="auto"/>
            <w:tcBorders>
              <w:top w:val="single" w:sz="8" w:space="0" w:color="auto"/>
              <w:left w:val="nil"/>
              <w:bottom w:val="single" w:sz="8" w:space="0" w:color="auto"/>
              <w:right w:val="single" w:sz="8" w:space="0" w:color="auto"/>
            </w:tcBorders>
            <w:shd w:val="clear" w:color="000000" w:fill="D9D9D9"/>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1.234.717.432</w:t>
            </w:r>
          </w:p>
        </w:tc>
        <w:tc>
          <w:tcPr>
            <w:tcW w:w="0" w:type="auto"/>
            <w:tcBorders>
              <w:top w:val="single" w:sz="8" w:space="0" w:color="auto"/>
              <w:left w:val="nil"/>
              <w:bottom w:val="single" w:sz="8" w:space="0" w:color="auto"/>
              <w:right w:val="single" w:sz="8" w:space="0" w:color="auto"/>
            </w:tcBorders>
            <w:shd w:val="clear" w:color="000000" w:fill="D9D9D9"/>
            <w:noWrap/>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40%</w:t>
            </w:r>
          </w:p>
        </w:tc>
        <w:tc>
          <w:tcPr>
            <w:tcW w:w="0" w:type="auto"/>
            <w:tcBorders>
              <w:top w:val="single" w:sz="8" w:space="0" w:color="auto"/>
              <w:left w:val="nil"/>
              <w:bottom w:val="single" w:sz="8" w:space="0" w:color="auto"/>
              <w:right w:val="single" w:sz="8" w:space="0" w:color="auto"/>
            </w:tcBorders>
            <w:shd w:val="clear" w:color="000000" w:fill="D9D9D9"/>
            <w:noWrap/>
            <w:vAlign w:val="center"/>
            <w:hideMark/>
          </w:tcPr>
          <w:p w:rsidR="00DF4770" w:rsidRPr="006E0441" w:rsidRDefault="00DF4770" w:rsidP="00AD1C70">
            <w:pPr>
              <w:jc w:val="right"/>
              <w:rPr>
                <w:rFonts w:ascii="Calibri" w:hAnsi="Calibri"/>
                <w:b/>
                <w:bCs/>
                <w:color w:val="000000"/>
                <w:sz w:val="14"/>
                <w:szCs w:val="14"/>
              </w:rPr>
            </w:pPr>
            <w:r w:rsidRPr="006E0441">
              <w:rPr>
                <w:rFonts w:ascii="Calibri" w:hAnsi="Calibri"/>
                <w:b/>
                <w:bCs/>
                <w:color w:val="000000"/>
                <w:sz w:val="14"/>
                <w:szCs w:val="14"/>
              </w:rPr>
              <w:t>1.132.991.896</w:t>
            </w:r>
          </w:p>
        </w:tc>
        <w:tc>
          <w:tcPr>
            <w:tcW w:w="853" w:type="dxa"/>
            <w:tcBorders>
              <w:top w:val="single" w:sz="8" w:space="0" w:color="auto"/>
              <w:left w:val="nil"/>
              <w:bottom w:val="single" w:sz="8" w:space="0" w:color="auto"/>
              <w:right w:val="single" w:sz="8" w:space="0" w:color="auto"/>
            </w:tcBorders>
            <w:shd w:val="clear" w:color="000000" w:fill="D9D9D9"/>
            <w:noWrap/>
            <w:vAlign w:val="center"/>
            <w:hideMark/>
          </w:tcPr>
          <w:p w:rsidR="00DF4770" w:rsidRPr="006E0441" w:rsidRDefault="00DF4770" w:rsidP="00AD1C70">
            <w:pPr>
              <w:jc w:val="center"/>
              <w:rPr>
                <w:rFonts w:ascii="Calibri" w:hAnsi="Calibri"/>
                <w:b/>
                <w:bCs/>
                <w:color w:val="000000"/>
                <w:sz w:val="14"/>
                <w:szCs w:val="14"/>
              </w:rPr>
            </w:pPr>
            <w:r w:rsidRPr="006E0441">
              <w:rPr>
                <w:rFonts w:ascii="Calibri" w:hAnsi="Calibri"/>
                <w:b/>
                <w:bCs/>
                <w:color w:val="000000"/>
                <w:sz w:val="14"/>
                <w:szCs w:val="14"/>
              </w:rPr>
              <w:t>37%</w:t>
            </w:r>
          </w:p>
        </w:tc>
      </w:tr>
    </w:tbl>
    <w:p w:rsidR="0032147E" w:rsidRPr="006E0441" w:rsidRDefault="00DF4770" w:rsidP="00DF4770">
      <w:pPr>
        <w:spacing w:after="0" w:line="288" w:lineRule="auto"/>
        <w:contextualSpacing/>
        <w:jc w:val="both"/>
        <w:rPr>
          <w:rFonts w:eastAsia="SimSun" w:cs="Arial"/>
          <w:i/>
          <w:sz w:val="16"/>
          <w:szCs w:val="16"/>
          <w:lang w:eastAsia="zh-CN"/>
        </w:rPr>
      </w:pPr>
      <w:r w:rsidRPr="006E0441">
        <w:rPr>
          <w:rFonts w:eastAsia="SimSun" w:cs="Arial"/>
          <w:i/>
          <w:sz w:val="16"/>
          <w:szCs w:val="16"/>
          <w:lang w:eastAsia="zh-CN"/>
        </w:rPr>
        <w:t xml:space="preserve">Vir: e-MA, SVRK, e-CA, </w:t>
      </w:r>
      <w:proofErr w:type="spellStart"/>
      <w:r w:rsidRPr="006E0441">
        <w:rPr>
          <w:rFonts w:eastAsia="SimSun" w:cs="Arial"/>
          <w:i/>
          <w:sz w:val="16"/>
          <w:szCs w:val="16"/>
          <w:lang w:eastAsia="zh-CN"/>
        </w:rPr>
        <w:t>MFeRAC</w:t>
      </w:r>
      <w:proofErr w:type="spellEnd"/>
      <w:r w:rsidRPr="006E0441">
        <w:rPr>
          <w:rFonts w:eastAsia="SimSun" w:cs="Arial"/>
          <w:i/>
          <w:sz w:val="16"/>
          <w:szCs w:val="16"/>
          <w:lang w:eastAsia="zh-CN"/>
        </w:rPr>
        <w:t xml:space="preserve"> in MF</w:t>
      </w:r>
    </w:p>
    <w:p w:rsidR="0032147E" w:rsidRPr="006E0441" w:rsidRDefault="0032147E" w:rsidP="00DF4770">
      <w:pPr>
        <w:spacing w:after="0" w:line="288" w:lineRule="auto"/>
        <w:contextualSpacing/>
        <w:jc w:val="both"/>
        <w:rPr>
          <w:rFonts w:eastAsia="SimSun" w:cs="Arial"/>
          <w:i/>
          <w:sz w:val="16"/>
          <w:szCs w:val="16"/>
          <w:lang w:eastAsia="zh-CN"/>
        </w:rPr>
      </w:pPr>
    </w:p>
    <w:p w:rsidR="00DF4770" w:rsidRPr="006E0441" w:rsidRDefault="00DF4770" w:rsidP="00DF4770">
      <w:pPr>
        <w:spacing w:after="0" w:line="288" w:lineRule="auto"/>
        <w:contextualSpacing/>
        <w:jc w:val="both"/>
        <w:rPr>
          <w:rFonts w:eastAsia="SimSun" w:cs="Arial"/>
          <w:i/>
          <w:sz w:val="16"/>
          <w:szCs w:val="16"/>
          <w:lang w:eastAsia="zh-CN"/>
        </w:rPr>
        <w:sectPr w:rsidR="00DF4770" w:rsidRPr="006E0441" w:rsidSect="00AA6499">
          <w:pgSz w:w="16840" w:h="11900" w:orient="landscape" w:code="9"/>
          <w:pgMar w:top="1264" w:right="1701" w:bottom="1134" w:left="1418" w:header="851" w:footer="329" w:gutter="0"/>
          <w:cols w:space="708"/>
          <w:docGrid w:linePitch="272"/>
        </w:sectPr>
      </w:pPr>
    </w:p>
    <w:p w:rsidR="009A3673" w:rsidRPr="006E0441" w:rsidRDefault="000F75DE" w:rsidP="00E22539">
      <w:pPr>
        <w:pStyle w:val="Naslov1"/>
        <w:numPr>
          <w:ilvl w:val="0"/>
          <w:numId w:val="16"/>
        </w:numPr>
        <w:ind w:hanging="720"/>
        <w:rPr>
          <w:caps w:val="0"/>
        </w:rPr>
      </w:pPr>
      <w:bookmarkStart w:id="5" w:name="_Toc50273547"/>
      <w:proofErr w:type="spellStart"/>
      <w:r w:rsidRPr="006E0441">
        <w:rPr>
          <w:caps w:val="0"/>
        </w:rPr>
        <w:lastRenderedPageBreak/>
        <w:t>R</w:t>
      </w:r>
      <w:r w:rsidR="00896CC3" w:rsidRPr="006E0441">
        <w:rPr>
          <w:caps w:val="0"/>
        </w:rPr>
        <w:t>eact</w:t>
      </w:r>
      <w:proofErr w:type="spellEnd"/>
      <w:r w:rsidRPr="006E0441">
        <w:rPr>
          <w:caps w:val="0"/>
        </w:rPr>
        <w:t>-EU</w:t>
      </w:r>
      <w:bookmarkEnd w:id="5"/>
    </w:p>
    <w:p w:rsidR="00607555" w:rsidRPr="006E0441" w:rsidRDefault="00607555" w:rsidP="00607555"/>
    <w:p w:rsidR="00E22539" w:rsidRPr="006E0441" w:rsidRDefault="00E22539" w:rsidP="00E22539">
      <w:pPr>
        <w:autoSpaceDE w:val="0"/>
        <w:autoSpaceDN w:val="0"/>
        <w:adjustRightInd w:val="0"/>
        <w:spacing w:after="0" w:line="240" w:lineRule="auto"/>
        <w:jc w:val="both"/>
        <w:rPr>
          <w:rFonts w:cstheme="minorHAnsi"/>
          <w:color w:val="0A0A0A"/>
          <w:shd w:val="clear" w:color="auto" w:fill="FEFEFE"/>
        </w:rPr>
      </w:pPr>
      <w:r w:rsidRPr="006E0441">
        <w:rPr>
          <w:rFonts w:cstheme="minorHAnsi"/>
          <w:color w:val="0A0A0A"/>
          <w:shd w:val="clear" w:color="auto" w:fill="FEFEFE"/>
        </w:rPr>
        <w:t xml:space="preserve">Evropska komisija je v okviru predloga načrta za okrevanje </w:t>
      </w:r>
      <w:proofErr w:type="spellStart"/>
      <w:r w:rsidRPr="006E0441">
        <w:rPr>
          <w:rFonts w:cstheme="minorHAnsi"/>
          <w:color w:val="0A0A0A"/>
          <w:shd w:val="clear" w:color="auto" w:fill="FEFEFE"/>
        </w:rPr>
        <w:t>Next</w:t>
      </w:r>
      <w:proofErr w:type="spellEnd"/>
      <w:r w:rsidRPr="006E0441">
        <w:rPr>
          <w:rFonts w:cstheme="minorHAnsi"/>
          <w:color w:val="0A0A0A"/>
          <w:shd w:val="clear" w:color="auto" w:fill="FEFEFE"/>
        </w:rPr>
        <w:t xml:space="preserve"> </w:t>
      </w:r>
      <w:proofErr w:type="spellStart"/>
      <w:r w:rsidRPr="006E0441">
        <w:rPr>
          <w:rFonts w:cstheme="minorHAnsi"/>
          <w:color w:val="0A0A0A"/>
          <w:shd w:val="clear" w:color="auto" w:fill="FEFEFE"/>
        </w:rPr>
        <w:t>Generation</w:t>
      </w:r>
      <w:proofErr w:type="spellEnd"/>
      <w:r w:rsidRPr="006E0441">
        <w:rPr>
          <w:rFonts w:cstheme="minorHAnsi"/>
          <w:color w:val="0A0A0A"/>
          <w:shd w:val="clear" w:color="auto" w:fill="FEFEFE"/>
        </w:rPr>
        <w:t xml:space="preserve"> EU predlagala pobudo </w:t>
      </w:r>
      <w:proofErr w:type="spellStart"/>
      <w:r w:rsidRPr="006E0441">
        <w:rPr>
          <w:rFonts w:cstheme="minorHAnsi"/>
          <w:color w:val="0A0A0A"/>
          <w:shd w:val="clear" w:color="auto" w:fill="FEFEFE"/>
        </w:rPr>
        <w:t>R</w:t>
      </w:r>
      <w:r w:rsidR="00896C26">
        <w:rPr>
          <w:rFonts w:cstheme="minorHAnsi"/>
          <w:color w:val="0A0A0A"/>
          <w:shd w:val="clear" w:color="auto" w:fill="FEFEFE"/>
        </w:rPr>
        <w:t>eact</w:t>
      </w:r>
      <w:proofErr w:type="spellEnd"/>
      <w:r w:rsidRPr="006E0441">
        <w:rPr>
          <w:rFonts w:cstheme="minorHAnsi"/>
          <w:color w:val="0A0A0A"/>
          <w:shd w:val="clear" w:color="auto" w:fill="FEFEFE"/>
        </w:rPr>
        <w:t>-EU, ki obsega na ravni EU 47,5 milijard evrov</w:t>
      </w:r>
      <w:r w:rsidRPr="006E0441">
        <w:rPr>
          <w:rStyle w:val="Sprotnaopomba-sklic"/>
          <w:rFonts w:cstheme="minorHAnsi"/>
          <w:color w:val="0A0A0A"/>
          <w:shd w:val="clear" w:color="auto" w:fill="FEFEFE"/>
        </w:rPr>
        <w:footnoteReference w:id="4"/>
      </w:r>
      <w:r w:rsidRPr="006E0441">
        <w:rPr>
          <w:rFonts w:cstheme="minorHAnsi"/>
          <w:color w:val="0A0A0A"/>
          <w:shd w:val="clear" w:color="auto" w:fill="FEFEFE"/>
        </w:rPr>
        <w:t xml:space="preserve"> dodanih sredstev. </w:t>
      </w:r>
      <w:proofErr w:type="spellStart"/>
      <w:r w:rsidRPr="006E0441">
        <w:rPr>
          <w:rFonts w:cstheme="minorHAnsi"/>
          <w:color w:val="0A0A0A"/>
          <w:shd w:val="clear" w:color="auto" w:fill="FEFEFE"/>
        </w:rPr>
        <w:t>R</w:t>
      </w:r>
      <w:r w:rsidR="00896C26">
        <w:rPr>
          <w:rFonts w:cstheme="minorHAnsi"/>
          <w:color w:val="0A0A0A"/>
          <w:shd w:val="clear" w:color="auto" w:fill="FEFEFE"/>
        </w:rPr>
        <w:t>eact</w:t>
      </w:r>
      <w:proofErr w:type="spellEnd"/>
      <w:r w:rsidRPr="006E0441">
        <w:rPr>
          <w:rFonts w:cstheme="minorHAnsi"/>
          <w:color w:val="0A0A0A"/>
          <w:shd w:val="clear" w:color="auto" w:fill="FEFEFE"/>
        </w:rPr>
        <w:t xml:space="preserve">-EU predstavlja most, s katerim se nadaljujejo in razširjajo ukrepi za odziv na krizo ter odpravo posledic krize, sprejeti v okviru Naložbene pobude v odziv na </w:t>
      </w:r>
      <w:proofErr w:type="spellStart"/>
      <w:r w:rsidRPr="006E0441">
        <w:rPr>
          <w:rFonts w:cstheme="minorHAnsi"/>
          <w:color w:val="0A0A0A"/>
          <w:shd w:val="clear" w:color="auto" w:fill="FEFEFE"/>
        </w:rPr>
        <w:t>koronavirus</w:t>
      </w:r>
      <w:proofErr w:type="spellEnd"/>
      <w:r w:rsidRPr="006E0441">
        <w:rPr>
          <w:rFonts w:cstheme="minorHAnsi"/>
          <w:color w:val="0A0A0A"/>
          <w:shd w:val="clear" w:color="auto" w:fill="FEFEFE"/>
        </w:rPr>
        <w:t xml:space="preserve"> (CRRI) ter naslednjo fazo, v kateri bo pobuda v okviru kohezijske politike 2021-2027 prispevala k dolgoročnemu zelenemu, digitalnemu in odpornemu okrevanja Evropske unije. Za Republiko Slovenijo bo po izračunih organa uprav</w:t>
      </w:r>
      <w:r w:rsidR="00896C26">
        <w:rPr>
          <w:rFonts w:cstheme="minorHAnsi"/>
          <w:color w:val="0A0A0A"/>
          <w:shd w:val="clear" w:color="auto" w:fill="FEFEFE"/>
        </w:rPr>
        <w:t>ljanja na razpolago 312 mio EUR v stalnih cenah (ali 333 mio EUR v tekočih cenah).</w:t>
      </w:r>
    </w:p>
    <w:p w:rsidR="00E22539" w:rsidRPr="006E0441" w:rsidRDefault="00E22539" w:rsidP="00607555"/>
    <w:p w:rsidR="00865EA6" w:rsidRPr="006E0441" w:rsidRDefault="00896CC3" w:rsidP="00E22539">
      <w:pPr>
        <w:pStyle w:val="Naslov2"/>
        <w:numPr>
          <w:ilvl w:val="1"/>
          <w:numId w:val="16"/>
        </w:numPr>
        <w:ind w:hanging="795"/>
        <w:rPr>
          <w:caps w:val="0"/>
        </w:rPr>
      </w:pPr>
      <w:bookmarkStart w:id="6" w:name="_Toc50273548"/>
      <w:r w:rsidRPr="006E0441">
        <w:rPr>
          <w:caps w:val="0"/>
        </w:rPr>
        <w:t>Vsebinske podlage za koriščenje sredstev</w:t>
      </w:r>
      <w:bookmarkEnd w:id="6"/>
    </w:p>
    <w:p w:rsidR="00E22539" w:rsidRPr="006E0441" w:rsidRDefault="00E22539" w:rsidP="00E22539">
      <w:pPr>
        <w:pStyle w:val="Odstavekseznama"/>
        <w:ind w:left="795"/>
      </w:pPr>
    </w:p>
    <w:p w:rsidR="00865EA6" w:rsidRPr="006E0441" w:rsidRDefault="00865EA6" w:rsidP="00865EA6">
      <w:pPr>
        <w:autoSpaceDE w:val="0"/>
        <w:autoSpaceDN w:val="0"/>
        <w:adjustRightInd w:val="0"/>
        <w:spacing w:after="0" w:line="240" w:lineRule="auto"/>
        <w:jc w:val="both"/>
        <w:rPr>
          <w:szCs w:val="20"/>
        </w:rPr>
      </w:pPr>
      <w:r w:rsidRPr="006E0441">
        <w:rPr>
          <w:szCs w:val="20"/>
        </w:rPr>
        <w:t>Usmeritev Evropske komisije</w:t>
      </w:r>
      <w:r w:rsidRPr="006E0441">
        <w:rPr>
          <w:rStyle w:val="Sprotnaopomba-sklic"/>
          <w:szCs w:val="20"/>
        </w:rPr>
        <w:footnoteReference w:id="5"/>
      </w:r>
      <w:r w:rsidRPr="006E0441">
        <w:rPr>
          <w:szCs w:val="20"/>
        </w:rPr>
        <w:t xml:space="preserve"> (v nadaljevanju: EK) za načrtovanje porabe sredstev </w:t>
      </w:r>
      <w:proofErr w:type="spellStart"/>
      <w:r w:rsidRPr="006E0441">
        <w:rPr>
          <w:szCs w:val="20"/>
        </w:rPr>
        <w:t>R</w:t>
      </w:r>
      <w:r w:rsidR="00896C26">
        <w:rPr>
          <w:szCs w:val="20"/>
        </w:rPr>
        <w:t>eact</w:t>
      </w:r>
      <w:proofErr w:type="spellEnd"/>
      <w:r w:rsidRPr="006E0441">
        <w:rPr>
          <w:szCs w:val="20"/>
        </w:rPr>
        <w:t>-EU, je da se morajo sredstva osredotočiti predvsem na:</w:t>
      </w:r>
    </w:p>
    <w:p w:rsidR="00865EA6" w:rsidRPr="006E0441" w:rsidRDefault="00865EA6" w:rsidP="00865EA6">
      <w:pPr>
        <w:autoSpaceDE w:val="0"/>
        <w:autoSpaceDN w:val="0"/>
        <w:adjustRightInd w:val="0"/>
        <w:spacing w:after="0" w:line="240" w:lineRule="auto"/>
        <w:jc w:val="both"/>
        <w:rPr>
          <w:szCs w:val="20"/>
        </w:rPr>
      </w:pPr>
    </w:p>
    <w:p w:rsidR="00865EA6" w:rsidRPr="006E0441" w:rsidRDefault="00865EA6" w:rsidP="00E22539">
      <w:pPr>
        <w:pStyle w:val="Odstavekseznama"/>
        <w:numPr>
          <w:ilvl w:val="0"/>
          <w:numId w:val="6"/>
        </w:numPr>
        <w:autoSpaceDE w:val="0"/>
        <w:autoSpaceDN w:val="0"/>
        <w:adjustRightInd w:val="0"/>
        <w:spacing w:after="0" w:line="240" w:lineRule="auto"/>
        <w:jc w:val="both"/>
        <w:rPr>
          <w:szCs w:val="20"/>
        </w:rPr>
      </w:pPr>
      <w:r w:rsidRPr="006E0441">
        <w:rPr>
          <w:szCs w:val="20"/>
        </w:rPr>
        <w:t>krepitev odpornosti zdravstvenih sistemov;</w:t>
      </w:r>
    </w:p>
    <w:p w:rsidR="00865EA6" w:rsidRPr="006E0441" w:rsidRDefault="00865EA6" w:rsidP="00E22539">
      <w:pPr>
        <w:pStyle w:val="Odstavekseznama"/>
        <w:numPr>
          <w:ilvl w:val="0"/>
          <w:numId w:val="6"/>
        </w:numPr>
        <w:autoSpaceDE w:val="0"/>
        <w:autoSpaceDN w:val="0"/>
        <w:adjustRightInd w:val="0"/>
        <w:spacing w:after="0" w:line="240" w:lineRule="auto"/>
        <w:jc w:val="both"/>
        <w:rPr>
          <w:szCs w:val="20"/>
        </w:rPr>
      </w:pPr>
      <w:r w:rsidRPr="006E0441">
        <w:rPr>
          <w:szCs w:val="20"/>
        </w:rPr>
        <w:t>ohranjanje in ustvarjanje delovnih mest, zlasti za mlade;</w:t>
      </w:r>
    </w:p>
    <w:p w:rsidR="00865EA6" w:rsidRPr="006E0441" w:rsidRDefault="00865EA6" w:rsidP="00E22539">
      <w:pPr>
        <w:pStyle w:val="Odstavekseznama"/>
        <w:numPr>
          <w:ilvl w:val="0"/>
          <w:numId w:val="6"/>
        </w:numPr>
        <w:autoSpaceDE w:val="0"/>
        <w:autoSpaceDN w:val="0"/>
        <w:adjustRightInd w:val="0"/>
        <w:spacing w:after="0" w:line="240" w:lineRule="auto"/>
        <w:jc w:val="both"/>
        <w:rPr>
          <w:szCs w:val="20"/>
        </w:rPr>
      </w:pPr>
      <w:r w:rsidRPr="006E0441">
        <w:rPr>
          <w:szCs w:val="20"/>
        </w:rPr>
        <w:t xml:space="preserve">podporo najrevnejšim v naši družbi ter </w:t>
      </w:r>
    </w:p>
    <w:p w:rsidR="00865EA6" w:rsidRPr="006E0441" w:rsidRDefault="00865EA6" w:rsidP="00E22539">
      <w:pPr>
        <w:pStyle w:val="Odstavekseznama"/>
        <w:numPr>
          <w:ilvl w:val="0"/>
          <w:numId w:val="6"/>
        </w:numPr>
        <w:autoSpaceDE w:val="0"/>
        <w:autoSpaceDN w:val="0"/>
        <w:adjustRightInd w:val="0"/>
        <w:spacing w:after="0" w:line="240" w:lineRule="auto"/>
        <w:jc w:val="both"/>
        <w:rPr>
          <w:szCs w:val="20"/>
        </w:rPr>
      </w:pPr>
      <w:r w:rsidRPr="006E0441">
        <w:rPr>
          <w:szCs w:val="20"/>
        </w:rPr>
        <w:t>zagotavljanje obratnega kapitala in naložbene podpore malim in srednje velikim podjetjem</w:t>
      </w:r>
    </w:p>
    <w:p w:rsidR="00865EA6" w:rsidRPr="006E0441" w:rsidRDefault="00865EA6" w:rsidP="00E22539">
      <w:pPr>
        <w:pStyle w:val="Odstavekseznama"/>
        <w:numPr>
          <w:ilvl w:val="0"/>
          <w:numId w:val="6"/>
        </w:numPr>
        <w:autoSpaceDE w:val="0"/>
        <w:autoSpaceDN w:val="0"/>
        <w:adjustRightInd w:val="0"/>
        <w:spacing w:after="0" w:line="240" w:lineRule="auto"/>
        <w:jc w:val="both"/>
        <w:rPr>
          <w:szCs w:val="20"/>
        </w:rPr>
      </w:pPr>
      <w:r w:rsidRPr="006E0441">
        <w:rPr>
          <w:szCs w:val="20"/>
        </w:rPr>
        <w:t>postaviti temelje za prihodne digitalne in zelene prehode ter trajnostni socialno-ekonomski razvoj (upoštevaje priporočila EK posameznim državam članicam).</w:t>
      </w:r>
    </w:p>
    <w:p w:rsidR="00865EA6" w:rsidRPr="006E0441" w:rsidRDefault="00865EA6" w:rsidP="00865EA6">
      <w:pPr>
        <w:autoSpaceDE w:val="0"/>
        <w:autoSpaceDN w:val="0"/>
        <w:adjustRightInd w:val="0"/>
        <w:spacing w:after="0" w:line="240" w:lineRule="auto"/>
        <w:jc w:val="both"/>
        <w:rPr>
          <w:szCs w:val="20"/>
        </w:rPr>
      </w:pPr>
    </w:p>
    <w:p w:rsidR="00865EA6" w:rsidRPr="006E0441" w:rsidRDefault="00865EA6" w:rsidP="00865EA6">
      <w:pPr>
        <w:jc w:val="both"/>
        <w:rPr>
          <w:rFonts w:cstheme="minorHAnsi"/>
          <w:color w:val="0A0A0A"/>
          <w:shd w:val="clear" w:color="auto" w:fill="FEFEFE"/>
        </w:rPr>
      </w:pPr>
      <w:r w:rsidRPr="006E0441">
        <w:rPr>
          <w:rFonts w:cstheme="minorHAnsi"/>
          <w:color w:val="0A0A0A"/>
          <w:shd w:val="clear" w:color="auto" w:fill="FEFEFE"/>
        </w:rPr>
        <w:t xml:space="preserve">Skupini izziv je s dodatnimi sredstvi čim bolj ublažiti negativne učinke krize na družbo in podpreti najbolj prizadete regije v preostalih treh letih trenutnega programskega obdobja. Zato želimo s hitrim odzivom in spremembo </w:t>
      </w:r>
      <w:r w:rsidR="00896C26">
        <w:rPr>
          <w:rFonts w:cstheme="minorHAnsi"/>
          <w:color w:val="0A0A0A"/>
          <w:shd w:val="clear" w:color="auto" w:fill="FEFEFE"/>
        </w:rPr>
        <w:t>OP</w:t>
      </w:r>
      <w:r w:rsidRPr="006E0441">
        <w:rPr>
          <w:rFonts w:cstheme="minorHAnsi"/>
          <w:color w:val="0A0A0A"/>
          <w:shd w:val="clear" w:color="auto" w:fill="FEFEFE"/>
        </w:rPr>
        <w:t xml:space="preserve"> 14-20 ter vključitvijo</w:t>
      </w:r>
      <w:r w:rsidR="006D017E" w:rsidRPr="006E0441">
        <w:rPr>
          <w:rFonts w:cstheme="minorHAnsi"/>
          <w:color w:val="0A0A0A"/>
          <w:shd w:val="clear" w:color="auto" w:fill="FEFEFE"/>
        </w:rPr>
        <w:t xml:space="preserve"> </w:t>
      </w:r>
      <w:r w:rsidRPr="006E0441">
        <w:rPr>
          <w:rFonts w:cstheme="minorHAnsi"/>
          <w:color w:val="0A0A0A"/>
          <w:shd w:val="clear" w:color="auto" w:fill="FEFEFE"/>
        </w:rPr>
        <w:t xml:space="preserve">sredstev </w:t>
      </w:r>
      <w:proofErr w:type="spellStart"/>
      <w:r w:rsidRPr="006E0441">
        <w:rPr>
          <w:rFonts w:cstheme="minorHAnsi"/>
          <w:color w:val="0A0A0A"/>
          <w:shd w:val="clear" w:color="auto" w:fill="FEFEFE"/>
        </w:rPr>
        <w:t>R</w:t>
      </w:r>
      <w:r w:rsidR="00896C26">
        <w:rPr>
          <w:rFonts w:cstheme="minorHAnsi"/>
          <w:color w:val="0A0A0A"/>
          <w:shd w:val="clear" w:color="auto" w:fill="FEFEFE"/>
        </w:rPr>
        <w:t>eact</w:t>
      </w:r>
      <w:proofErr w:type="spellEnd"/>
      <w:r w:rsidR="00896C26">
        <w:rPr>
          <w:rFonts w:cstheme="minorHAnsi"/>
          <w:color w:val="0A0A0A"/>
          <w:shd w:val="clear" w:color="auto" w:fill="FEFEFE"/>
        </w:rPr>
        <w:t>-EU v o</w:t>
      </w:r>
      <w:r w:rsidRPr="006E0441">
        <w:rPr>
          <w:rFonts w:cstheme="minorHAnsi"/>
          <w:color w:val="0A0A0A"/>
          <w:shd w:val="clear" w:color="auto" w:fill="FEFEFE"/>
        </w:rPr>
        <w:t>perativni program to kar najbolje izkoristiti.</w:t>
      </w:r>
    </w:p>
    <w:p w:rsidR="00865EA6" w:rsidRPr="006E0441" w:rsidRDefault="00865EA6" w:rsidP="00865EA6">
      <w:pPr>
        <w:jc w:val="both"/>
        <w:rPr>
          <w:rFonts w:cstheme="minorHAnsi"/>
          <w:color w:val="0A0A0A"/>
          <w:shd w:val="clear" w:color="auto" w:fill="FEFEFE"/>
        </w:rPr>
      </w:pPr>
      <w:r w:rsidRPr="006E0441">
        <w:rPr>
          <w:rFonts w:cstheme="minorHAnsi"/>
          <w:color w:val="0A0A0A"/>
          <w:shd w:val="clear" w:color="auto" w:fill="FEFEFE"/>
        </w:rPr>
        <w:t xml:space="preserve">Skladno z umeritvijo EK smo pri pripravi predloga spremembe OP 14-20 sredstva v okviru pobude </w:t>
      </w:r>
      <w:proofErr w:type="spellStart"/>
      <w:r w:rsidRPr="006E0441">
        <w:rPr>
          <w:rFonts w:cstheme="minorHAnsi"/>
          <w:color w:val="0A0A0A"/>
          <w:shd w:val="clear" w:color="auto" w:fill="FEFEFE"/>
        </w:rPr>
        <w:t>R</w:t>
      </w:r>
      <w:r w:rsidR="00896C26">
        <w:rPr>
          <w:rFonts w:cstheme="minorHAnsi"/>
          <w:color w:val="0A0A0A"/>
          <w:shd w:val="clear" w:color="auto" w:fill="FEFEFE"/>
        </w:rPr>
        <w:t>eact</w:t>
      </w:r>
      <w:proofErr w:type="spellEnd"/>
      <w:r w:rsidRPr="006E0441">
        <w:rPr>
          <w:rFonts w:cstheme="minorHAnsi"/>
          <w:color w:val="0A0A0A"/>
          <w:shd w:val="clear" w:color="auto" w:fill="FEFEFE"/>
        </w:rPr>
        <w:t xml:space="preserve">-EU za Evropski sklad za regionalni razvoj (ESRR), Evropski socialni sklad (ESS) in Sklad za evropsko pomoč najbolj ogroženim (FEAD) predvideli v skladu s cilji ekonomske, socialne in teritorialne kohezije iz Pogodbe o delovanju Evropske unije. </w:t>
      </w:r>
    </w:p>
    <w:p w:rsidR="00865EA6" w:rsidRPr="006E0441" w:rsidRDefault="00865EA6" w:rsidP="00865EA6">
      <w:pPr>
        <w:jc w:val="both"/>
        <w:rPr>
          <w:rFonts w:cstheme="minorHAnsi"/>
          <w:color w:val="0A0A0A"/>
          <w:shd w:val="clear" w:color="auto" w:fill="FEFEFE"/>
        </w:rPr>
      </w:pPr>
      <w:r w:rsidRPr="006E0441">
        <w:rPr>
          <w:rFonts w:cstheme="minorHAnsi"/>
          <w:color w:val="0A0A0A"/>
          <w:shd w:val="clear" w:color="auto" w:fill="FEFEFE"/>
        </w:rPr>
        <w:t>Pri pripravi predlogov smo v Sloveniji sledili načelu, da</w:t>
      </w:r>
      <w:r w:rsidR="00415899" w:rsidRPr="006E0441">
        <w:rPr>
          <w:rFonts w:cstheme="minorHAnsi"/>
          <w:color w:val="0A0A0A"/>
          <w:shd w:val="clear" w:color="auto" w:fill="FEFEFE"/>
        </w:rPr>
        <w:t xml:space="preserve"> </w:t>
      </w:r>
      <w:r w:rsidRPr="006E0441">
        <w:rPr>
          <w:rFonts w:cstheme="minorHAnsi"/>
          <w:color w:val="0A0A0A"/>
          <w:shd w:val="clear" w:color="auto" w:fill="FEFEFE"/>
        </w:rPr>
        <w:t xml:space="preserve">mora biti okrevanje usmerjeno v prihodnost in odporno, z izrazitim poudarkom na spodbujanju zelenega in digitalnega prehoda. </w:t>
      </w:r>
    </w:p>
    <w:p w:rsidR="00865EA6" w:rsidRPr="006E0441" w:rsidRDefault="00865EA6" w:rsidP="00865EA6">
      <w:pPr>
        <w:jc w:val="both"/>
        <w:rPr>
          <w:rFonts w:cstheme="minorHAnsi"/>
          <w:color w:val="0A0A0A"/>
          <w:shd w:val="clear" w:color="auto" w:fill="FEFEFE"/>
        </w:rPr>
      </w:pPr>
      <w:r w:rsidRPr="006E0441">
        <w:rPr>
          <w:rFonts w:cstheme="minorHAnsi"/>
          <w:color w:val="0A0A0A"/>
          <w:shd w:val="clear" w:color="auto" w:fill="FEFEFE"/>
        </w:rPr>
        <w:t xml:space="preserve">Poleg tega smo upoštevali tudi, da </w:t>
      </w:r>
      <w:r w:rsidR="00CC32EA" w:rsidRPr="006E0441">
        <w:rPr>
          <w:rFonts w:cstheme="minorHAnsi"/>
          <w:color w:val="0A0A0A"/>
          <w:shd w:val="clear" w:color="auto" w:fill="FEFEFE"/>
        </w:rPr>
        <w:t>so</w:t>
      </w:r>
      <w:r w:rsidRPr="006E0441">
        <w:rPr>
          <w:rFonts w:cstheme="minorHAnsi"/>
          <w:color w:val="0A0A0A"/>
          <w:shd w:val="clear" w:color="auto" w:fill="FEFEFE"/>
        </w:rPr>
        <w:t xml:space="preserve"> sredstva </w:t>
      </w:r>
      <w:proofErr w:type="spellStart"/>
      <w:r w:rsidRPr="006E0441">
        <w:rPr>
          <w:rFonts w:cstheme="minorHAnsi"/>
          <w:color w:val="0A0A0A"/>
          <w:shd w:val="clear" w:color="auto" w:fill="FEFEFE"/>
        </w:rPr>
        <w:t>R</w:t>
      </w:r>
      <w:r w:rsidR="00896C26">
        <w:rPr>
          <w:rFonts w:cstheme="minorHAnsi"/>
          <w:color w:val="0A0A0A"/>
          <w:shd w:val="clear" w:color="auto" w:fill="FEFEFE"/>
        </w:rPr>
        <w:t>eact</w:t>
      </w:r>
      <w:proofErr w:type="spellEnd"/>
      <w:r w:rsidRPr="006E0441">
        <w:rPr>
          <w:rFonts w:cstheme="minorHAnsi"/>
          <w:color w:val="0A0A0A"/>
          <w:shd w:val="clear" w:color="auto" w:fill="FEFEFE"/>
        </w:rPr>
        <w:t>-EU najprimernejša za zagotavljanje podpore na naslednjih področjih:</w:t>
      </w:r>
    </w:p>
    <w:p w:rsidR="00865EA6" w:rsidRPr="006E0441" w:rsidRDefault="00865EA6" w:rsidP="00E22539">
      <w:pPr>
        <w:pStyle w:val="Odstavekseznama"/>
        <w:numPr>
          <w:ilvl w:val="0"/>
          <w:numId w:val="5"/>
        </w:numPr>
        <w:jc w:val="both"/>
      </w:pPr>
      <w:r w:rsidRPr="006E0441">
        <w:t xml:space="preserve">ESRR: dodatni viri se bodo uporabili predvsem za podpiranje naložb v izdelke in storitve za </w:t>
      </w:r>
      <w:r w:rsidRPr="006E0441">
        <w:rPr>
          <w:b/>
        </w:rPr>
        <w:t>zdravstvene službe</w:t>
      </w:r>
      <w:r w:rsidR="00DD30BF" w:rsidRPr="006E0441">
        <w:rPr>
          <w:b/>
        </w:rPr>
        <w:t xml:space="preserve"> </w:t>
      </w:r>
      <w:r w:rsidRPr="006E0441">
        <w:t>ter za zagotavljanje podpore v obliki obratnih sredstev ali naložbene podpore za MSP, za naložbe, ki prispevajo k prehodu v zeleno in digitalno gospodarstvo, naložbe v osnovno infrastrukturo za zagotavljanje osnovnih storitev državljanom</w:t>
      </w:r>
      <w:r w:rsidR="00520C07" w:rsidRPr="006E0441">
        <w:t xml:space="preserve"> (naložbe v socialnovarstvene zavode s poudarkom na </w:t>
      </w:r>
      <w:r w:rsidR="00520C07" w:rsidRPr="006E0441">
        <w:rPr>
          <w:b/>
        </w:rPr>
        <w:t>domovih za starejše občane</w:t>
      </w:r>
      <w:r w:rsidR="00520C07" w:rsidRPr="006E0441">
        <w:t>)</w:t>
      </w:r>
      <w:r w:rsidRPr="006E0441">
        <w:t xml:space="preserve"> in gospodarski ukrepi v regijah, ki so najbolj odvisne od sektorjev, ki jih je kriza najbolj prizadela.</w:t>
      </w:r>
    </w:p>
    <w:p w:rsidR="00865EA6" w:rsidRPr="006E0441" w:rsidRDefault="00865EA6" w:rsidP="00865EA6">
      <w:pPr>
        <w:pStyle w:val="Odstavekseznama"/>
        <w:ind w:left="916"/>
        <w:jc w:val="both"/>
      </w:pPr>
    </w:p>
    <w:p w:rsidR="00865EA6" w:rsidRPr="006E0441" w:rsidRDefault="00865EA6" w:rsidP="00E22539">
      <w:pPr>
        <w:pStyle w:val="Odstavekseznama"/>
        <w:numPr>
          <w:ilvl w:val="0"/>
          <w:numId w:val="5"/>
        </w:numPr>
        <w:jc w:val="both"/>
      </w:pPr>
      <w:r w:rsidRPr="006E0441">
        <w:t xml:space="preserve">ESS: dodatni viri se bodo uporabili predvsem za podporo </w:t>
      </w:r>
      <w:r w:rsidRPr="006E0441">
        <w:rPr>
          <w:b/>
        </w:rPr>
        <w:t>ohranjanju delovnih mest, vključno s shemami skrajšanega delovnega časa</w:t>
      </w:r>
      <w:r w:rsidRPr="006E0441">
        <w:t xml:space="preserve"> in podporo samozaposlenim, za ustvarjanje delovnih mest, zlasti za </w:t>
      </w:r>
      <w:r w:rsidR="00312B80" w:rsidRPr="006E0441">
        <w:t>mlade</w:t>
      </w:r>
      <w:r w:rsidRPr="006E0441">
        <w:t>, podporo ukrepom za zaposlovanje mladih, razvoj znanj in spretnosti, še posebej v podporo zelenemu in digitalnemu prehodu ter izboljšanje dostopa do socialnih storitev splošnega interesa</w:t>
      </w:r>
      <w:r w:rsidR="00520C07" w:rsidRPr="006E0441">
        <w:t xml:space="preserve"> (s posebnim poudarkom na </w:t>
      </w:r>
      <w:r w:rsidR="00520C07" w:rsidRPr="006E0441">
        <w:rPr>
          <w:b/>
        </w:rPr>
        <w:t>kadrovski okrepitvi varstva starejših občanov</w:t>
      </w:r>
      <w:r w:rsidR="00520C07" w:rsidRPr="006E0441">
        <w:t>)</w:t>
      </w:r>
      <w:r w:rsidRPr="006E0441">
        <w:t>.</w:t>
      </w:r>
    </w:p>
    <w:p w:rsidR="00865EA6" w:rsidRPr="006E0441" w:rsidRDefault="00865EA6" w:rsidP="00865EA6">
      <w:pPr>
        <w:pStyle w:val="Odstavekseznama"/>
      </w:pPr>
    </w:p>
    <w:p w:rsidR="00865EA6" w:rsidRPr="006E0441" w:rsidRDefault="00865EA6" w:rsidP="00E22539">
      <w:pPr>
        <w:pStyle w:val="Odstavekseznama"/>
        <w:numPr>
          <w:ilvl w:val="0"/>
          <w:numId w:val="5"/>
        </w:numPr>
        <w:jc w:val="both"/>
      </w:pPr>
      <w:r w:rsidRPr="006E0441">
        <w:t xml:space="preserve">FEAD: predlog uredbe o </w:t>
      </w:r>
      <w:proofErr w:type="spellStart"/>
      <w:r w:rsidRPr="006E0441">
        <w:t>R</w:t>
      </w:r>
      <w:r w:rsidR="00896C26">
        <w:t>eact</w:t>
      </w:r>
      <w:proofErr w:type="spellEnd"/>
      <w:r w:rsidRPr="006E0441">
        <w:t xml:space="preserve">-EU zagotavlja dodatno podporo najbolj ogroženim, saj je to ciljno skupino kriza COVID-19 nesorazmerno močno prizadela. </w:t>
      </w:r>
      <w:r w:rsidRPr="006E0441">
        <w:rPr>
          <w:b/>
        </w:rPr>
        <w:t>Dodatna sredstva bodo dodana obstoječi podpori najbolj ogroženim v obliki hrane in/ali osnovne materiale pomoči</w:t>
      </w:r>
      <w:r w:rsidRPr="006E0441">
        <w:t xml:space="preserve"> ali programov, ki spodbujajo socialno vključenost. Prostovoljni</w:t>
      </w:r>
      <w:r w:rsidR="006D017E" w:rsidRPr="006E0441">
        <w:t xml:space="preserve"> </w:t>
      </w:r>
      <w:r w:rsidRPr="006E0441">
        <w:t>prenos dodatnih nacionalnih sredstev v programe sklada FEAD</w:t>
      </w:r>
      <w:r w:rsidR="00D503FF" w:rsidRPr="006E0441">
        <w:t xml:space="preserve"> (</w:t>
      </w:r>
      <w:r w:rsidR="00D503FF" w:rsidRPr="006E0441">
        <w:rPr>
          <w:szCs w:val="20"/>
        </w:rPr>
        <w:t>Operativni program za materialno pomoč najbolj ogroženim)</w:t>
      </w:r>
      <w:r w:rsidRPr="006E0441">
        <w:t xml:space="preserve"> v skladu s specifičnimi potrebami v vsaki državi članici bo predstavljal konkreten in viden prispevek k solidarnosti EU z najbolj ranljivimi skupinami. Pri ocenjevanju potreb po dodatnih sredstvih v okviru programov FEAD je treba posebno pozornost nameniti skokovitemu povečanju števila oseb, ki so najbolj ogrožene, vse od izbruha pandemije COVID-19 dalje.</w:t>
      </w:r>
    </w:p>
    <w:p w:rsidR="000A680C" w:rsidRPr="006E0441" w:rsidRDefault="000A680C">
      <w:pPr>
        <w:rPr>
          <w:b/>
          <w:szCs w:val="20"/>
        </w:rPr>
      </w:pPr>
    </w:p>
    <w:p w:rsidR="00F71DBA" w:rsidRPr="006E0441" w:rsidRDefault="00312B80" w:rsidP="006D6E54">
      <w:pPr>
        <w:pStyle w:val="Naslov2"/>
        <w:numPr>
          <w:ilvl w:val="1"/>
          <w:numId w:val="16"/>
        </w:numPr>
        <w:ind w:hanging="795"/>
        <w:rPr>
          <w:caps w:val="0"/>
        </w:rPr>
      </w:pPr>
      <w:bookmarkStart w:id="7" w:name="_Toc50273549"/>
      <w:r w:rsidRPr="006E0441">
        <w:rPr>
          <w:caps w:val="0"/>
        </w:rPr>
        <w:t>Ukrepi</w:t>
      </w:r>
      <w:r w:rsidR="00896CC3" w:rsidRPr="006E0441">
        <w:rPr>
          <w:caps w:val="0"/>
        </w:rPr>
        <w:t xml:space="preserve"> </w:t>
      </w:r>
      <w:proofErr w:type="spellStart"/>
      <w:r w:rsidR="00331FCA" w:rsidRPr="006E0441">
        <w:rPr>
          <w:caps w:val="0"/>
        </w:rPr>
        <w:t>R</w:t>
      </w:r>
      <w:r w:rsidR="00896CC3" w:rsidRPr="006E0441">
        <w:rPr>
          <w:caps w:val="0"/>
        </w:rPr>
        <w:t>eact</w:t>
      </w:r>
      <w:proofErr w:type="spellEnd"/>
      <w:r w:rsidR="00896CC3" w:rsidRPr="006E0441">
        <w:rPr>
          <w:caps w:val="0"/>
        </w:rPr>
        <w:t>-</w:t>
      </w:r>
      <w:r w:rsidR="00331FCA" w:rsidRPr="006E0441">
        <w:rPr>
          <w:caps w:val="0"/>
        </w:rPr>
        <w:t xml:space="preserve">EU </w:t>
      </w:r>
      <w:bookmarkEnd w:id="7"/>
    </w:p>
    <w:p w:rsidR="004C34A2" w:rsidRPr="006E0441" w:rsidRDefault="004C34A2" w:rsidP="00E51A1F">
      <w:pPr>
        <w:jc w:val="both"/>
        <w:rPr>
          <w:szCs w:val="20"/>
        </w:rPr>
      </w:pPr>
    </w:p>
    <w:p w:rsidR="00BA4606" w:rsidRPr="006E0441" w:rsidRDefault="00E51A1F" w:rsidP="00BA4606">
      <w:pPr>
        <w:jc w:val="both"/>
        <w:rPr>
          <w:szCs w:val="20"/>
        </w:rPr>
      </w:pPr>
      <w:r w:rsidRPr="006E0441">
        <w:rPr>
          <w:szCs w:val="20"/>
        </w:rPr>
        <w:t xml:space="preserve">Po sprejetem dogovoru Evropskega sveta o večletnem finančnem okviru in instrumentu za okrevanje z dne 21. 7. 2020 je organ upravljanja nemudoma pristopil k izvedbi postopkov za čim </w:t>
      </w:r>
      <w:r w:rsidR="000A680C" w:rsidRPr="006E0441">
        <w:rPr>
          <w:szCs w:val="20"/>
        </w:rPr>
        <w:t xml:space="preserve">hitrejšo in kvalitetnejšo </w:t>
      </w:r>
      <w:r w:rsidR="00896C26">
        <w:rPr>
          <w:szCs w:val="20"/>
        </w:rPr>
        <w:t>u</w:t>
      </w:r>
      <w:r w:rsidR="000A680C" w:rsidRPr="006E0441">
        <w:rPr>
          <w:szCs w:val="20"/>
        </w:rPr>
        <w:t xml:space="preserve">porabo teh razpoložljivih sredstev. </w:t>
      </w:r>
      <w:r w:rsidR="00BA4606" w:rsidRPr="006E0441">
        <w:rPr>
          <w:b/>
          <w:szCs w:val="20"/>
        </w:rPr>
        <w:t>Predvidevamo, da se bodo projekti v celoti</w:t>
      </w:r>
      <w:r w:rsidR="003302D1" w:rsidRPr="006E0441">
        <w:rPr>
          <w:b/>
          <w:szCs w:val="20"/>
        </w:rPr>
        <w:t xml:space="preserve"> (torej 100%)</w:t>
      </w:r>
      <w:r w:rsidR="00BA4606" w:rsidRPr="006E0441">
        <w:rPr>
          <w:b/>
          <w:szCs w:val="20"/>
        </w:rPr>
        <w:t xml:space="preserve"> financirali iz EU sredstev.</w:t>
      </w:r>
    </w:p>
    <w:p w:rsidR="00B9692B" w:rsidRPr="006E0441" w:rsidRDefault="00E51A1F" w:rsidP="00042C60">
      <w:pPr>
        <w:jc w:val="both"/>
        <w:rPr>
          <w:szCs w:val="20"/>
        </w:rPr>
      </w:pPr>
      <w:r w:rsidRPr="006E0441">
        <w:rPr>
          <w:szCs w:val="20"/>
        </w:rPr>
        <w:t>0</w:t>
      </w:r>
      <w:r w:rsidR="00DC0DC3" w:rsidRPr="006E0441">
        <w:rPr>
          <w:szCs w:val="20"/>
        </w:rPr>
        <w:t>U</w:t>
      </w:r>
      <w:r w:rsidRPr="006E0441">
        <w:rPr>
          <w:szCs w:val="20"/>
        </w:rPr>
        <w:t xml:space="preserve"> </w:t>
      </w:r>
      <w:r w:rsidR="00DC0DC3" w:rsidRPr="006E0441">
        <w:rPr>
          <w:szCs w:val="20"/>
        </w:rPr>
        <w:t xml:space="preserve">je </w:t>
      </w:r>
      <w:r w:rsidRPr="006E0441">
        <w:rPr>
          <w:szCs w:val="20"/>
        </w:rPr>
        <w:t xml:space="preserve">dne 24.7. 2020 z dopisom št.303-7/2020/1 pozval vsa posredniška telesa, da </w:t>
      </w:r>
      <w:r w:rsidR="00DC0DC3" w:rsidRPr="006E0441">
        <w:rPr>
          <w:szCs w:val="20"/>
        </w:rPr>
        <w:t xml:space="preserve">pripravijo ukrepe, ki odgovarjajo na prioritete </w:t>
      </w:r>
      <w:proofErr w:type="spellStart"/>
      <w:r w:rsidRPr="006E0441">
        <w:rPr>
          <w:szCs w:val="20"/>
        </w:rPr>
        <w:t>R</w:t>
      </w:r>
      <w:r w:rsidR="00550EC1" w:rsidRPr="006E0441">
        <w:rPr>
          <w:szCs w:val="20"/>
        </w:rPr>
        <w:t>eact</w:t>
      </w:r>
      <w:proofErr w:type="spellEnd"/>
      <w:r w:rsidRPr="006E0441">
        <w:rPr>
          <w:szCs w:val="20"/>
        </w:rPr>
        <w:t xml:space="preserve">-EU, </w:t>
      </w:r>
      <w:r w:rsidR="00DC0DC3" w:rsidRPr="006E0441">
        <w:rPr>
          <w:szCs w:val="20"/>
        </w:rPr>
        <w:t xml:space="preserve">z katere je za Republiko Slovenijo predvidenih </w:t>
      </w:r>
      <w:r w:rsidRPr="006E0441">
        <w:rPr>
          <w:szCs w:val="20"/>
        </w:rPr>
        <w:t>dodatn</w:t>
      </w:r>
      <w:r w:rsidR="00DC0DC3" w:rsidRPr="006E0441">
        <w:rPr>
          <w:szCs w:val="20"/>
        </w:rPr>
        <w:t>ih</w:t>
      </w:r>
      <w:r w:rsidRPr="006E0441">
        <w:rPr>
          <w:szCs w:val="20"/>
        </w:rPr>
        <w:t xml:space="preserve"> sredst</w:t>
      </w:r>
      <w:r w:rsidR="00520C07" w:rsidRPr="006E0441">
        <w:rPr>
          <w:szCs w:val="20"/>
        </w:rPr>
        <w:t>ev</w:t>
      </w:r>
      <w:r w:rsidRPr="006E0441">
        <w:rPr>
          <w:szCs w:val="20"/>
        </w:rPr>
        <w:t xml:space="preserve"> v predvideni višini 3</w:t>
      </w:r>
      <w:r w:rsidR="00520C07" w:rsidRPr="006E0441">
        <w:rPr>
          <w:szCs w:val="20"/>
        </w:rPr>
        <w:t>33</w:t>
      </w:r>
      <w:r w:rsidRPr="006E0441">
        <w:rPr>
          <w:szCs w:val="20"/>
        </w:rPr>
        <w:t xml:space="preserve"> mio evrov</w:t>
      </w:r>
      <w:r w:rsidR="00520C07" w:rsidRPr="006E0441">
        <w:rPr>
          <w:szCs w:val="20"/>
        </w:rPr>
        <w:t xml:space="preserve"> (tekoče cene)</w:t>
      </w:r>
      <w:r w:rsidRPr="006E0441">
        <w:rPr>
          <w:szCs w:val="20"/>
        </w:rPr>
        <w:t xml:space="preserve"> in bodo usmerjena na področje zdravja</w:t>
      </w:r>
      <w:r w:rsidR="00520C07" w:rsidRPr="006E0441">
        <w:rPr>
          <w:szCs w:val="20"/>
        </w:rPr>
        <w:t>,</w:t>
      </w:r>
      <w:r w:rsidR="006D017E" w:rsidRPr="006E0441">
        <w:rPr>
          <w:szCs w:val="20"/>
        </w:rPr>
        <w:t xml:space="preserve"> </w:t>
      </w:r>
      <w:r w:rsidR="00DC4B5A" w:rsidRPr="006E0441">
        <w:rPr>
          <w:szCs w:val="20"/>
        </w:rPr>
        <w:t xml:space="preserve">ohranjanju delovnih mest, </w:t>
      </w:r>
      <w:r w:rsidRPr="006E0441">
        <w:rPr>
          <w:szCs w:val="20"/>
        </w:rPr>
        <w:t>socialnega varstva starejših</w:t>
      </w:r>
      <w:r w:rsidR="00DC4B5A" w:rsidRPr="006E0441">
        <w:rPr>
          <w:szCs w:val="20"/>
        </w:rPr>
        <w:t xml:space="preserve"> in ostalih </w:t>
      </w:r>
      <w:r w:rsidR="00FD2F24" w:rsidRPr="006E0441">
        <w:rPr>
          <w:szCs w:val="20"/>
        </w:rPr>
        <w:t>vsebin</w:t>
      </w:r>
      <w:r w:rsidR="00DC4B5A" w:rsidRPr="006E0441">
        <w:rPr>
          <w:szCs w:val="20"/>
        </w:rPr>
        <w:t xml:space="preserve">, ki jih naslavlja </w:t>
      </w:r>
      <w:proofErr w:type="spellStart"/>
      <w:r w:rsidR="00DC4B5A" w:rsidRPr="006E0441">
        <w:rPr>
          <w:szCs w:val="20"/>
        </w:rPr>
        <w:t>React</w:t>
      </w:r>
      <w:proofErr w:type="spellEnd"/>
      <w:r w:rsidR="00DC4B5A" w:rsidRPr="006E0441">
        <w:rPr>
          <w:szCs w:val="20"/>
        </w:rPr>
        <w:t>-EU.</w:t>
      </w:r>
      <w:r w:rsidR="003F09E8" w:rsidRPr="006E0441">
        <w:rPr>
          <w:szCs w:val="20"/>
        </w:rPr>
        <w:t xml:space="preserve"> </w:t>
      </w:r>
      <w:r w:rsidR="00896C26">
        <w:rPr>
          <w:szCs w:val="20"/>
        </w:rPr>
        <w:t xml:space="preserve">Pri izvedbi s sredstvi </w:t>
      </w:r>
      <w:proofErr w:type="spellStart"/>
      <w:r w:rsidR="00896C26">
        <w:rPr>
          <w:szCs w:val="20"/>
        </w:rPr>
        <w:t>React</w:t>
      </w:r>
      <w:proofErr w:type="spellEnd"/>
      <w:r w:rsidR="00896C26">
        <w:rPr>
          <w:szCs w:val="20"/>
        </w:rPr>
        <w:t>-EU</w:t>
      </w:r>
      <w:r w:rsidR="005937F8" w:rsidRPr="006E0441">
        <w:rPr>
          <w:szCs w:val="20"/>
        </w:rPr>
        <w:t xml:space="preserve"> je ključno, da imamo izvedljive in realne predloge, zato</w:t>
      </w:r>
      <w:r w:rsidR="00520C07" w:rsidRPr="006E0441">
        <w:rPr>
          <w:szCs w:val="20"/>
        </w:rPr>
        <w:t xml:space="preserve"> je bil ključen poudarek (poleg nujnosti naslavljanja krize po epidemiji) dan pripravljenosti projektov za izvedbo.</w:t>
      </w:r>
      <w:r w:rsidR="005937F8" w:rsidRPr="006E0441">
        <w:rPr>
          <w:szCs w:val="20"/>
        </w:rPr>
        <w:t xml:space="preserve"> </w:t>
      </w:r>
    </w:p>
    <w:p w:rsidR="00042C60" w:rsidRPr="006E0441" w:rsidRDefault="009C5FB1" w:rsidP="00042C60">
      <w:pPr>
        <w:jc w:val="both"/>
        <w:rPr>
          <w:szCs w:val="20"/>
        </w:rPr>
      </w:pPr>
      <w:r w:rsidRPr="006E0441">
        <w:rPr>
          <w:szCs w:val="20"/>
        </w:rPr>
        <w:t>V tej fazi gre seveda za indikativne znes</w:t>
      </w:r>
      <w:r w:rsidR="003302D1" w:rsidRPr="006E0441">
        <w:rPr>
          <w:szCs w:val="20"/>
        </w:rPr>
        <w:t>ke, prav tako pa je brez celotne</w:t>
      </w:r>
      <w:r w:rsidRPr="006E0441">
        <w:rPr>
          <w:szCs w:val="20"/>
        </w:rPr>
        <w:t xml:space="preserve"> dokumentacije nemogoče </w:t>
      </w:r>
      <w:r w:rsidR="003302D1" w:rsidRPr="006E0441">
        <w:rPr>
          <w:szCs w:val="20"/>
        </w:rPr>
        <w:t xml:space="preserve">z visoko stopnjo zanesljivosti </w:t>
      </w:r>
      <w:r w:rsidRPr="006E0441">
        <w:rPr>
          <w:szCs w:val="20"/>
        </w:rPr>
        <w:t>ovrednotiti k</w:t>
      </w:r>
      <w:r w:rsidR="003302D1" w:rsidRPr="006E0441">
        <w:rPr>
          <w:szCs w:val="20"/>
        </w:rPr>
        <w:t>akovost</w:t>
      </w:r>
      <w:r w:rsidRPr="006E0441">
        <w:rPr>
          <w:szCs w:val="20"/>
        </w:rPr>
        <w:t xml:space="preserve"> in predvidene učinke predlaganega ukrepa ter tudi samo izvedljivost. </w:t>
      </w:r>
      <w:r w:rsidR="002521FE" w:rsidRPr="006E0441">
        <w:rPr>
          <w:szCs w:val="20"/>
        </w:rPr>
        <w:t xml:space="preserve">V okviru dodatnih sredstev </w:t>
      </w:r>
      <w:proofErr w:type="spellStart"/>
      <w:r w:rsidR="00EA5571" w:rsidRPr="006E0441">
        <w:rPr>
          <w:szCs w:val="20"/>
        </w:rPr>
        <w:t>React</w:t>
      </w:r>
      <w:proofErr w:type="spellEnd"/>
      <w:r w:rsidR="002521FE" w:rsidRPr="006E0441">
        <w:rPr>
          <w:szCs w:val="20"/>
        </w:rPr>
        <w:t>-EU je na razpolago 312 mio EUR</w:t>
      </w:r>
      <w:r w:rsidR="003302D1" w:rsidRPr="006E0441">
        <w:rPr>
          <w:szCs w:val="20"/>
        </w:rPr>
        <w:t xml:space="preserve"> </w:t>
      </w:r>
      <w:r w:rsidR="00FD2F24" w:rsidRPr="006E0441">
        <w:rPr>
          <w:szCs w:val="20"/>
        </w:rPr>
        <w:t xml:space="preserve">evropskih </w:t>
      </w:r>
      <w:r w:rsidR="002521FE" w:rsidRPr="006E0441">
        <w:rPr>
          <w:szCs w:val="20"/>
        </w:rPr>
        <w:t>sredstev</w:t>
      </w:r>
      <w:r w:rsidR="003302D1" w:rsidRPr="006E0441">
        <w:rPr>
          <w:szCs w:val="20"/>
        </w:rPr>
        <w:t xml:space="preserve"> v stalnih cenah 2018, v tekočih cenah, ki se dejansko programirajo v okviru spremembe OP 14—20, to znaša </w:t>
      </w:r>
      <w:r w:rsidR="003302D1" w:rsidRPr="006E0441">
        <w:rPr>
          <w:b/>
          <w:szCs w:val="20"/>
        </w:rPr>
        <w:t>333 mio EUR</w:t>
      </w:r>
      <w:r w:rsidR="002521FE" w:rsidRPr="006E0441">
        <w:rPr>
          <w:szCs w:val="20"/>
        </w:rPr>
        <w:t>.</w:t>
      </w:r>
      <w:r w:rsidR="00FD2F24" w:rsidRPr="006E0441">
        <w:rPr>
          <w:szCs w:val="20"/>
        </w:rPr>
        <w:t xml:space="preserve"> </w:t>
      </w:r>
      <w:r w:rsidR="002521FE" w:rsidRPr="006E0441">
        <w:rPr>
          <w:szCs w:val="20"/>
        </w:rPr>
        <w:t xml:space="preserve">Z dodatno prerazporeditvijo </w:t>
      </w:r>
      <w:r w:rsidR="00E04353" w:rsidRPr="006E0441">
        <w:rPr>
          <w:szCs w:val="20"/>
        </w:rPr>
        <w:t>8,9</w:t>
      </w:r>
      <w:r w:rsidR="002521FE" w:rsidRPr="006E0441">
        <w:rPr>
          <w:szCs w:val="20"/>
        </w:rPr>
        <w:t xml:space="preserve"> mio EUR </w:t>
      </w:r>
      <w:r w:rsidR="00E04353" w:rsidRPr="006E0441">
        <w:rPr>
          <w:szCs w:val="20"/>
        </w:rPr>
        <w:t>na FEAD je skupaj na razpolago</w:t>
      </w:r>
      <w:r w:rsidR="003302D1" w:rsidRPr="006E0441">
        <w:rPr>
          <w:szCs w:val="20"/>
        </w:rPr>
        <w:t xml:space="preserve"> za programiranje v okviru spremembe OP 14-20 </w:t>
      </w:r>
      <w:r w:rsidR="003302D1" w:rsidRPr="00896C26">
        <w:rPr>
          <w:b/>
          <w:szCs w:val="20"/>
          <w:u w:val="single"/>
        </w:rPr>
        <w:t>324,1</w:t>
      </w:r>
      <w:r w:rsidR="002521FE" w:rsidRPr="00896C26">
        <w:rPr>
          <w:b/>
          <w:szCs w:val="20"/>
          <w:u w:val="single"/>
        </w:rPr>
        <w:t xml:space="preserve"> mio EUR</w:t>
      </w:r>
      <w:r w:rsidR="002521FE" w:rsidRPr="006E0441">
        <w:rPr>
          <w:szCs w:val="20"/>
        </w:rPr>
        <w:t xml:space="preserve">. </w:t>
      </w:r>
    </w:p>
    <w:p w:rsidR="002521FE" w:rsidRPr="006E0441" w:rsidRDefault="002521FE" w:rsidP="003C006B">
      <w:pPr>
        <w:jc w:val="both"/>
        <w:rPr>
          <w:szCs w:val="20"/>
        </w:rPr>
      </w:pPr>
      <w:r w:rsidRPr="006E0441">
        <w:rPr>
          <w:szCs w:val="20"/>
        </w:rPr>
        <w:t>Glede na to, da so resorji, ki so vsebinsko vključeni v izvajanje evropske kohezijske politike v Sloveniji</w:t>
      </w:r>
      <w:r w:rsidR="003302D1" w:rsidRPr="006E0441">
        <w:rPr>
          <w:szCs w:val="20"/>
        </w:rPr>
        <w:t>,</w:t>
      </w:r>
      <w:r w:rsidRPr="006E0441">
        <w:rPr>
          <w:szCs w:val="20"/>
        </w:rPr>
        <w:t xml:space="preserve"> </w:t>
      </w:r>
      <w:r w:rsidRPr="006E0441">
        <w:rPr>
          <w:b/>
          <w:szCs w:val="20"/>
        </w:rPr>
        <w:t>izkazali veliko upravičenih potreb</w:t>
      </w:r>
      <w:r w:rsidRPr="006E0441">
        <w:rPr>
          <w:szCs w:val="20"/>
        </w:rPr>
        <w:t xml:space="preserve">, </w:t>
      </w:r>
      <w:r w:rsidR="00312B80" w:rsidRPr="006E0441">
        <w:rPr>
          <w:szCs w:val="20"/>
        </w:rPr>
        <w:t xml:space="preserve">ki večkratno presegajo razpoložljiva sredstva, </w:t>
      </w:r>
      <w:r w:rsidRPr="006E0441">
        <w:rPr>
          <w:szCs w:val="20"/>
        </w:rPr>
        <w:t>kar kaže na razsežnost problema epidemije in podhranjenost posameznih sektorjev v Republiki Sloveniji</w:t>
      </w:r>
      <w:r w:rsidR="001E1B2B" w:rsidRPr="006E0441">
        <w:rPr>
          <w:szCs w:val="20"/>
        </w:rPr>
        <w:t>,</w:t>
      </w:r>
      <w:r w:rsidRPr="006E0441">
        <w:rPr>
          <w:szCs w:val="20"/>
        </w:rPr>
        <w:t xml:space="preserve"> je bil organ upravljanja primoran </w:t>
      </w:r>
      <w:r w:rsidR="001E1B2B" w:rsidRPr="006E0441">
        <w:rPr>
          <w:szCs w:val="20"/>
        </w:rPr>
        <w:t xml:space="preserve">v </w:t>
      </w:r>
      <w:r w:rsidR="00EA5571" w:rsidRPr="006E0441">
        <w:rPr>
          <w:szCs w:val="20"/>
        </w:rPr>
        <w:t>osredotočenje</w:t>
      </w:r>
      <w:r w:rsidRPr="006E0441">
        <w:rPr>
          <w:szCs w:val="20"/>
        </w:rPr>
        <w:t xml:space="preserve"> pri vključevanj</w:t>
      </w:r>
      <w:r w:rsidR="00EA5571" w:rsidRPr="006E0441">
        <w:rPr>
          <w:szCs w:val="20"/>
        </w:rPr>
        <w:t>u</w:t>
      </w:r>
      <w:r w:rsidRPr="006E0441">
        <w:rPr>
          <w:szCs w:val="20"/>
        </w:rPr>
        <w:t xml:space="preserve"> projektov v financiranje iz naslova </w:t>
      </w:r>
      <w:proofErr w:type="spellStart"/>
      <w:r w:rsidRPr="006E0441">
        <w:rPr>
          <w:szCs w:val="20"/>
        </w:rPr>
        <w:t>R</w:t>
      </w:r>
      <w:r w:rsidR="00FD2F24" w:rsidRPr="006E0441">
        <w:rPr>
          <w:szCs w:val="20"/>
        </w:rPr>
        <w:t>eact</w:t>
      </w:r>
      <w:proofErr w:type="spellEnd"/>
      <w:r w:rsidRPr="006E0441">
        <w:rPr>
          <w:szCs w:val="20"/>
        </w:rPr>
        <w:t xml:space="preserve">-EU. </w:t>
      </w:r>
    </w:p>
    <w:p w:rsidR="005428DF" w:rsidRPr="006E0441" w:rsidRDefault="002521FE" w:rsidP="003C006B">
      <w:pPr>
        <w:jc w:val="both"/>
        <w:rPr>
          <w:szCs w:val="20"/>
        </w:rPr>
      </w:pPr>
      <w:r w:rsidRPr="006E0441">
        <w:rPr>
          <w:szCs w:val="20"/>
        </w:rPr>
        <w:t xml:space="preserve">Pri </w:t>
      </w:r>
      <w:r w:rsidR="005428DF" w:rsidRPr="006E0441">
        <w:rPr>
          <w:szCs w:val="20"/>
        </w:rPr>
        <w:t>določanju</w:t>
      </w:r>
      <w:r w:rsidR="003302D1" w:rsidRPr="006E0441">
        <w:rPr>
          <w:szCs w:val="20"/>
        </w:rPr>
        <w:t>,</w:t>
      </w:r>
      <w:r w:rsidR="005428DF" w:rsidRPr="006E0441">
        <w:rPr>
          <w:szCs w:val="20"/>
        </w:rPr>
        <w:t xml:space="preserve"> kateri projekti se lahko </w:t>
      </w:r>
      <w:r w:rsidR="009C5FB1" w:rsidRPr="006E0441">
        <w:rPr>
          <w:szCs w:val="20"/>
        </w:rPr>
        <w:t xml:space="preserve">predvidoma </w:t>
      </w:r>
      <w:r w:rsidR="005428DF" w:rsidRPr="006E0441">
        <w:rPr>
          <w:szCs w:val="20"/>
        </w:rPr>
        <w:t xml:space="preserve">uvrstijo v financiranje iz </w:t>
      </w:r>
      <w:proofErr w:type="spellStart"/>
      <w:r w:rsidR="005428DF" w:rsidRPr="006E0441">
        <w:rPr>
          <w:szCs w:val="20"/>
        </w:rPr>
        <w:t>R</w:t>
      </w:r>
      <w:r w:rsidR="00FD2F24" w:rsidRPr="006E0441">
        <w:rPr>
          <w:szCs w:val="20"/>
        </w:rPr>
        <w:t>eact</w:t>
      </w:r>
      <w:proofErr w:type="spellEnd"/>
      <w:r w:rsidR="005428DF" w:rsidRPr="006E0441">
        <w:rPr>
          <w:szCs w:val="20"/>
        </w:rPr>
        <w:t xml:space="preserve">-EU zaradi prevelikih upravičeno izkazanih potreb </w:t>
      </w:r>
      <w:r w:rsidR="003C006B" w:rsidRPr="006E0441">
        <w:rPr>
          <w:szCs w:val="20"/>
        </w:rPr>
        <w:t>smo uporabili naslednja merila:</w:t>
      </w:r>
    </w:p>
    <w:p w:rsidR="0048653E" w:rsidRPr="006E0441" w:rsidRDefault="003C006B" w:rsidP="00E22539">
      <w:pPr>
        <w:pStyle w:val="Odstavekseznama"/>
        <w:numPr>
          <w:ilvl w:val="0"/>
          <w:numId w:val="1"/>
        </w:numPr>
        <w:autoSpaceDE w:val="0"/>
        <w:autoSpaceDN w:val="0"/>
        <w:adjustRightInd w:val="0"/>
        <w:spacing w:after="0" w:line="240" w:lineRule="auto"/>
        <w:jc w:val="both"/>
      </w:pPr>
      <w:r w:rsidRPr="006E0441">
        <w:rPr>
          <w:szCs w:val="20"/>
        </w:rPr>
        <w:lastRenderedPageBreak/>
        <w:t>vsebinska ustreznost</w:t>
      </w:r>
      <w:r w:rsidR="002521FE" w:rsidRPr="006E0441">
        <w:rPr>
          <w:szCs w:val="20"/>
        </w:rPr>
        <w:t xml:space="preserve"> glede na Usmeritev Evropske komisije za finan</w:t>
      </w:r>
      <w:r w:rsidR="00B0147B" w:rsidRPr="006E0441">
        <w:rPr>
          <w:szCs w:val="20"/>
        </w:rPr>
        <w:t>c</w:t>
      </w:r>
      <w:r w:rsidR="002521FE" w:rsidRPr="006E0441">
        <w:rPr>
          <w:szCs w:val="20"/>
        </w:rPr>
        <w:t xml:space="preserve">iranje iz sredstev </w:t>
      </w:r>
      <w:proofErr w:type="spellStart"/>
      <w:r w:rsidR="002521FE" w:rsidRPr="006E0441">
        <w:rPr>
          <w:szCs w:val="20"/>
        </w:rPr>
        <w:t>R</w:t>
      </w:r>
      <w:r w:rsidR="00896C26">
        <w:rPr>
          <w:szCs w:val="20"/>
        </w:rPr>
        <w:t>eact</w:t>
      </w:r>
      <w:proofErr w:type="spellEnd"/>
      <w:r w:rsidR="002521FE" w:rsidRPr="006E0441">
        <w:rPr>
          <w:szCs w:val="20"/>
        </w:rPr>
        <w:t>-EU</w:t>
      </w:r>
      <w:r w:rsidR="00FB5B83" w:rsidRPr="006E0441">
        <w:rPr>
          <w:szCs w:val="20"/>
        </w:rPr>
        <w:t>, torej</w:t>
      </w:r>
      <w:r w:rsidR="003302D1" w:rsidRPr="006E0441">
        <w:rPr>
          <w:szCs w:val="20"/>
        </w:rPr>
        <w:t>:</w:t>
      </w:r>
    </w:p>
    <w:p w:rsidR="00EA5571" w:rsidRPr="006E0441" w:rsidRDefault="00FB5B83" w:rsidP="008C085F">
      <w:pPr>
        <w:pStyle w:val="Odstavekseznama"/>
        <w:autoSpaceDE w:val="0"/>
        <w:autoSpaceDN w:val="0"/>
        <w:adjustRightInd w:val="0"/>
        <w:spacing w:after="0" w:line="240" w:lineRule="auto"/>
        <w:ind w:left="1134" w:hanging="414"/>
        <w:jc w:val="both"/>
        <w:rPr>
          <w:szCs w:val="20"/>
        </w:rPr>
      </w:pPr>
      <w:r w:rsidRPr="006E0441">
        <w:rPr>
          <w:szCs w:val="20"/>
        </w:rPr>
        <w:t>·</w:t>
      </w:r>
      <w:r w:rsidRPr="006E0441">
        <w:rPr>
          <w:szCs w:val="20"/>
        </w:rPr>
        <w:tab/>
        <w:t>krepitev odpornosti zdravstvenih sistemov</w:t>
      </w:r>
      <w:r w:rsidR="00EA5571" w:rsidRPr="006E0441">
        <w:rPr>
          <w:szCs w:val="20"/>
        </w:rPr>
        <w:t>, vključno z zagotavljanjem preventive na najbolj kritičnem delu, to je zagotavljanju ustreznih pogojev za zmanjšanje ogroženosti starejših občanov;</w:t>
      </w:r>
    </w:p>
    <w:p w:rsidR="00FB5B83" w:rsidRPr="006E0441" w:rsidRDefault="00FB5B83" w:rsidP="008C085F">
      <w:pPr>
        <w:pStyle w:val="Odstavekseznama"/>
        <w:autoSpaceDE w:val="0"/>
        <w:autoSpaceDN w:val="0"/>
        <w:adjustRightInd w:val="0"/>
        <w:spacing w:after="0" w:line="240" w:lineRule="auto"/>
        <w:ind w:left="1134" w:hanging="414"/>
        <w:jc w:val="both"/>
        <w:rPr>
          <w:szCs w:val="20"/>
        </w:rPr>
      </w:pPr>
      <w:r w:rsidRPr="006E0441">
        <w:rPr>
          <w:szCs w:val="20"/>
        </w:rPr>
        <w:t>·</w:t>
      </w:r>
      <w:r w:rsidRPr="006E0441">
        <w:rPr>
          <w:szCs w:val="20"/>
        </w:rPr>
        <w:tab/>
        <w:t>ohranjanje in ustvarjanje delovnih mest, zlasti za mlade;</w:t>
      </w:r>
    </w:p>
    <w:p w:rsidR="00FB5B83" w:rsidRPr="006E0441" w:rsidRDefault="00FB5B83" w:rsidP="008C085F">
      <w:pPr>
        <w:pStyle w:val="Odstavekseznama"/>
        <w:autoSpaceDE w:val="0"/>
        <w:autoSpaceDN w:val="0"/>
        <w:adjustRightInd w:val="0"/>
        <w:spacing w:after="0" w:line="240" w:lineRule="auto"/>
        <w:ind w:left="1134" w:hanging="414"/>
        <w:jc w:val="both"/>
        <w:rPr>
          <w:szCs w:val="20"/>
        </w:rPr>
      </w:pPr>
      <w:r w:rsidRPr="006E0441">
        <w:rPr>
          <w:szCs w:val="20"/>
        </w:rPr>
        <w:t>·</w:t>
      </w:r>
      <w:r w:rsidRPr="006E0441">
        <w:rPr>
          <w:szCs w:val="20"/>
        </w:rPr>
        <w:tab/>
        <w:t xml:space="preserve">podporo najrevnejšim v naši družbi ter </w:t>
      </w:r>
    </w:p>
    <w:p w:rsidR="00FB5B83" w:rsidRPr="006E0441" w:rsidRDefault="00FB5B83" w:rsidP="008C085F">
      <w:pPr>
        <w:pStyle w:val="Odstavekseznama"/>
        <w:autoSpaceDE w:val="0"/>
        <w:autoSpaceDN w:val="0"/>
        <w:adjustRightInd w:val="0"/>
        <w:spacing w:after="0" w:line="240" w:lineRule="auto"/>
        <w:ind w:left="1134" w:hanging="414"/>
        <w:jc w:val="both"/>
        <w:rPr>
          <w:szCs w:val="20"/>
        </w:rPr>
      </w:pPr>
      <w:r w:rsidRPr="006E0441">
        <w:rPr>
          <w:szCs w:val="20"/>
        </w:rPr>
        <w:t>·</w:t>
      </w:r>
      <w:r w:rsidRPr="006E0441">
        <w:rPr>
          <w:szCs w:val="20"/>
        </w:rPr>
        <w:tab/>
        <w:t>zagotavljanje obratnega kapitala in naložbene podpore malim in srednje velikim podjetjem</w:t>
      </w:r>
      <w:r w:rsidR="0023018A" w:rsidRPr="006E0441">
        <w:rPr>
          <w:szCs w:val="20"/>
        </w:rPr>
        <w:t>;</w:t>
      </w:r>
    </w:p>
    <w:p w:rsidR="003302D1" w:rsidRPr="006E0441" w:rsidRDefault="00FB5B83" w:rsidP="008C085F">
      <w:pPr>
        <w:pStyle w:val="Odstavekseznama"/>
        <w:autoSpaceDE w:val="0"/>
        <w:autoSpaceDN w:val="0"/>
        <w:adjustRightInd w:val="0"/>
        <w:spacing w:after="0" w:line="240" w:lineRule="auto"/>
        <w:ind w:left="1134" w:hanging="414"/>
        <w:jc w:val="both"/>
        <w:rPr>
          <w:szCs w:val="20"/>
        </w:rPr>
      </w:pPr>
      <w:r w:rsidRPr="006E0441">
        <w:rPr>
          <w:szCs w:val="20"/>
        </w:rPr>
        <w:t>·</w:t>
      </w:r>
      <w:r w:rsidRPr="006E0441">
        <w:rPr>
          <w:szCs w:val="20"/>
        </w:rPr>
        <w:tab/>
        <w:t>postavitev temeljev za prihodne digitalne in zelene prehode ter trajnostni socialno-ekonomski razvoj (upoštevaje priporočila EK posameznim državam članicam)</w:t>
      </w:r>
      <w:r w:rsidR="00EA5571" w:rsidRPr="006E0441">
        <w:rPr>
          <w:szCs w:val="20"/>
        </w:rPr>
        <w:t>, vključno s ciljnim naslavljanjem najbolj prizadetega območja Slovenije</w:t>
      </w:r>
      <w:r w:rsidRPr="006E0441">
        <w:rPr>
          <w:szCs w:val="20"/>
        </w:rPr>
        <w:t>.</w:t>
      </w:r>
    </w:p>
    <w:p w:rsidR="00E43FF9" w:rsidRPr="006E0441" w:rsidRDefault="003C006B" w:rsidP="00E22539">
      <w:pPr>
        <w:pStyle w:val="Odstavekseznama"/>
        <w:numPr>
          <w:ilvl w:val="0"/>
          <w:numId w:val="1"/>
        </w:numPr>
        <w:autoSpaceDE w:val="0"/>
        <w:autoSpaceDN w:val="0"/>
        <w:adjustRightInd w:val="0"/>
        <w:spacing w:after="0" w:line="240" w:lineRule="auto"/>
        <w:jc w:val="both"/>
      </w:pPr>
      <w:r w:rsidRPr="006E0441">
        <w:rPr>
          <w:szCs w:val="20"/>
        </w:rPr>
        <w:t xml:space="preserve">izvedljivost </w:t>
      </w:r>
      <w:r w:rsidR="00B80236" w:rsidRPr="006E0441">
        <w:rPr>
          <w:szCs w:val="20"/>
        </w:rPr>
        <w:t xml:space="preserve">predlaganih ukrepov </w:t>
      </w:r>
      <w:r w:rsidRPr="006E0441">
        <w:rPr>
          <w:szCs w:val="20"/>
        </w:rPr>
        <w:t xml:space="preserve">do konca </w:t>
      </w:r>
      <w:r w:rsidR="00FB5B83" w:rsidRPr="006E0441">
        <w:rPr>
          <w:szCs w:val="20"/>
        </w:rPr>
        <w:t>obdobja upravičenosti, to je do 31.12.</w:t>
      </w:r>
      <w:r w:rsidRPr="006E0441">
        <w:rPr>
          <w:szCs w:val="20"/>
        </w:rPr>
        <w:t>2023</w:t>
      </w:r>
      <w:r w:rsidR="00DC07DD" w:rsidRPr="006E0441">
        <w:rPr>
          <w:szCs w:val="20"/>
        </w:rPr>
        <w:t>.</w:t>
      </w:r>
    </w:p>
    <w:p w:rsidR="0048653E" w:rsidRPr="006E0441" w:rsidRDefault="0048653E" w:rsidP="0048653E">
      <w:pPr>
        <w:pStyle w:val="Odstavekseznama"/>
        <w:autoSpaceDE w:val="0"/>
        <w:autoSpaceDN w:val="0"/>
        <w:adjustRightInd w:val="0"/>
        <w:spacing w:after="0" w:line="240" w:lineRule="auto"/>
        <w:jc w:val="both"/>
      </w:pPr>
    </w:p>
    <w:p w:rsidR="000E416D" w:rsidRPr="006E0441" w:rsidRDefault="000E416D" w:rsidP="006D6FD1">
      <w:pPr>
        <w:autoSpaceDE w:val="0"/>
        <w:autoSpaceDN w:val="0"/>
        <w:adjustRightInd w:val="0"/>
        <w:spacing w:after="0" w:line="240" w:lineRule="auto"/>
        <w:jc w:val="both"/>
        <w:rPr>
          <w:szCs w:val="20"/>
        </w:rPr>
      </w:pPr>
      <w:r w:rsidRPr="006E0441">
        <w:t xml:space="preserve">Predlog predvidene prerazporeditve </w:t>
      </w:r>
      <w:r w:rsidRPr="006E0441">
        <w:rPr>
          <w:szCs w:val="20"/>
        </w:rPr>
        <w:t>sredstev je pripravljen na podlagi izkazanih potreb, ki imajo zadaj konkretne predloge, vseeno pa se v tem predlogu prikazuje samo indikativna vrednost namenjena za posamezno področje.</w:t>
      </w:r>
      <w:r w:rsidR="00B9692B" w:rsidRPr="006E0441">
        <w:rPr>
          <w:szCs w:val="20"/>
        </w:rPr>
        <w:t xml:space="preserve"> </w:t>
      </w:r>
      <w:r w:rsidRPr="006E0441">
        <w:rPr>
          <w:szCs w:val="20"/>
        </w:rPr>
        <w:t xml:space="preserve">Točni zneski in konkretni projekti pa se bodo izoblikovali tekom samega </w:t>
      </w:r>
      <w:r w:rsidR="007E2782" w:rsidRPr="006E0441">
        <w:rPr>
          <w:szCs w:val="20"/>
        </w:rPr>
        <w:t>procesa potrjevanja</w:t>
      </w:r>
      <w:r w:rsidRPr="006E0441">
        <w:rPr>
          <w:szCs w:val="20"/>
        </w:rPr>
        <w:t xml:space="preserve"> in usklajevanja z vpletenimi resorji. </w:t>
      </w:r>
      <w:r w:rsidR="00280335" w:rsidRPr="006E0441">
        <w:rPr>
          <w:szCs w:val="20"/>
        </w:rPr>
        <w:t xml:space="preserve">Sredstva </w:t>
      </w:r>
      <w:proofErr w:type="spellStart"/>
      <w:r w:rsidR="00280335" w:rsidRPr="006E0441">
        <w:rPr>
          <w:szCs w:val="20"/>
        </w:rPr>
        <w:t>React</w:t>
      </w:r>
      <w:proofErr w:type="spellEnd"/>
      <w:r w:rsidR="00280335" w:rsidRPr="006E0441">
        <w:rPr>
          <w:szCs w:val="20"/>
        </w:rPr>
        <w:t>-EU se bodo načrtovala v okviru ločene prednostne osi (PO 15) v okviru OP 14-20 in sicer za namene, ki jih predvideva predlog uredbe.</w:t>
      </w:r>
    </w:p>
    <w:p w:rsidR="000E416D" w:rsidRPr="006E0441" w:rsidRDefault="000E416D" w:rsidP="006D6FD1">
      <w:pPr>
        <w:autoSpaceDE w:val="0"/>
        <w:autoSpaceDN w:val="0"/>
        <w:adjustRightInd w:val="0"/>
        <w:spacing w:after="0" w:line="240" w:lineRule="auto"/>
        <w:jc w:val="both"/>
        <w:rPr>
          <w:szCs w:val="20"/>
        </w:rPr>
      </w:pPr>
    </w:p>
    <w:p w:rsidR="008C085F" w:rsidRPr="006E0441" w:rsidRDefault="008C085F" w:rsidP="006D6FD1">
      <w:pPr>
        <w:autoSpaceDE w:val="0"/>
        <w:autoSpaceDN w:val="0"/>
        <w:adjustRightInd w:val="0"/>
        <w:spacing w:after="0" w:line="240" w:lineRule="auto"/>
        <w:jc w:val="both"/>
        <w:rPr>
          <w:szCs w:val="20"/>
        </w:rPr>
      </w:pPr>
    </w:p>
    <w:p w:rsidR="00BA4606" w:rsidRPr="006E0441" w:rsidRDefault="007935E0" w:rsidP="00BA4606">
      <w:pPr>
        <w:rPr>
          <w:b/>
        </w:rPr>
      </w:pPr>
      <w:r w:rsidRPr="006E0441">
        <w:rPr>
          <w:b/>
        </w:rPr>
        <w:t xml:space="preserve">Tabela 6: </w:t>
      </w:r>
      <w:r w:rsidR="00BA4606" w:rsidRPr="006E0441">
        <w:rPr>
          <w:b/>
        </w:rPr>
        <w:t>Pregled</w:t>
      </w:r>
      <w:r w:rsidR="00FB5B83" w:rsidRPr="006E0441">
        <w:rPr>
          <w:b/>
        </w:rPr>
        <w:t xml:space="preserve"> indi</w:t>
      </w:r>
      <w:r w:rsidR="003979D8" w:rsidRPr="006E0441">
        <w:rPr>
          <w:b/>
        </w:rPr>
        <w:t>k</w:t>
      </w:r>
      <w:r w:rsidR="00FB5B83" w:rsidRPr="006E0441">
        <w:rPr>
          <w:b/>
        </w:rPr>
        <w:t>a</w:t>
      </w:r>
      <w:r w:rsidR="003979D8" w:rsidRPr="006E0441">
        <w:rPr>
          <w:b/>
        </w:rPr>
        <w:t xml:space="preserve">tivne </w:t>
      </w:r>
      <w:r w:rsidR="00BA4606" w:rsidRPr="006E0441">
        <w:rPr>
          <w:b/>
        </w:rPr>
        <w:t>alokaci</w:t>
      </w:r>
      <w:r w:rsidRPr="006E0441">
        <w:rPr>
          <w:b/>
        </w:rPr>
        <w:t>je glede na prednostna področja</w:t>
      </w:r>
    </w:p>
    <w:tbl>
      <w:tblPr>
        <w:tblW w:w="7825" w:type="dxa"/>
        <w:tblInd w:w="-5" w:type="dxa"/>
        <w:tblCellMar>
          <w:left w:w="70" w:type="dxa"/>
          <w:right w:w="70" w:type="dxa"/>
        </w:tblCellMar>
        <w:tblLook w:val="04A0" w:firstRow="1" w:lastRow="0" w:firstColumn="1" w:lastColumn="0" w:noHBand="0" w:noVBand="1"/>
      </w:tblPr>
      <w:tblGrid>
        <w:gridCol w:w="5071"/>
        <w:gridCol w:w="2754"/>
      </w:tblGrid>
      <w:tr w:rsidR="00B9692B" w:rsidRPr="006E0441" w:rsidTr="00B9692B">
        <w:trPr>
          <w:trHeight w:val="248"/>
        </w:trPr>
        <w:tc>
          <w:tcPr>
            <w:tcW w:w="5071" w:type="dxa"/>
            <w:tcBorders>
              <w:top w:val="single" w:sz="4" w:space="0" w:color="auto"/>
              <w:left w:val="single" w:sz="4" w:space="0" w:color="auto"/>
              <w:bottom w:val="single" w:sz="4" w:space="0" w:color="auto"/>
              <w:right w:val="single" w:sz="4" w:space="0" w:color="auto"/>
            </w:tcBorders>
            <w:shd w:val="clear" w:color="DDEBF7" w:fill="D9D9D9"/>
            <w:noWrap/>
            <w:vAlign w:val="bottom"/>
            <w:hideMark/>
          </w:tcPr>
          <w:p w:rsidR="00B9692B" w:rsidRPr="006E0441" w:rsidRDefault="00B9692B" w:rsidP="00B9692B">
            <w:pPr>
              <w:spacing w:after="0" w:line="240" w:lineRule="auto"/>
              <w:rPr>
                <w:rFonts w:ascii="Calibri" w:eastAsia="Times New Roman" w:hAnsi="Calibri" w:cs="Calibri"/>
                <w:b/>
                <w:bCs/>
                <w:color w:val="000000"/>
                <w:lang w:eastAsia="sl-SI"/>
              </w:rPr>
            </w:pPr>
            <w:r w:rsidRPr="006E0441">
              <w:rPr>
                <w:rFonts w:ascii="Calibri" w:eastAsia="Times New Roman" w:hAnsi="Calibri" w:cs="Calibri"/>
                <w:b/>
                <w:bCs/>
                <w:color w:val="000000"/>
                <w:lang w:eastAsia="sl-SI"/>
              </w:rPr>
              <w:t>Prednostno področje</w:t>
            </w:r>
          </w:p>
        </w:tc>
        <w:tc>
          <w:tcPr>
            <w:tcW w:w="2754" w:type="dxa"/>
            <w:tcBorders>
              <w:top w:val="single" w:sz="4" w:space="0" w:color="auto"/>
              <w:left w:val="nil"/>
              <w:bottom w:val="single" w:sz="4" w:space="0" w:color="auto"/>
              <w:right w:val="single" w:sz="4" w:space="0" w:color="auto"/>
            </w:tcBorders>
            <w:shd w:val="clear" w:color="DDEBF7" w:fill="D9D9D9"/>
            <w:noWrap/>
            <w:vAlign w:val="bottom"/>
            <w:hideMark/>
          </w:tcPr>
          <w:p w:rsidR="00B9692B" w:rsidRPr="006E0441" w:rsidRDefault="00B9692B" w:rsidP="00B9692B">
            <w:pPr>
              <w:spacing w:after="0" w:line="240" w:lineRule="auto"/>
              <w:rPr>
                <w:rFonts w:ascii="Calibri" w:eastAsia="Times New Roman" w:hAnsi="Calibri" w:cs="Calibri"/>
                <w:b/>
                <w:bCs/>
                <w:color w:val="000000"/>
                <w:lang w:eastAsia="sl-SI"/>
              </w:rPr>
            </w:pPr>
            <w:r w:rsidRPr="006E0441">
              <w:rPr>
                <w:rFonts w:ascii="Calibri" w:eastAsia="Times New Roman" w:hAnsi="Calibri" w:cs="Calibri"/>
                <w:b/>
                <w:bCs/>
                <w:color w:val="000000"/>
                <w:lang w:eastAsia="sl-SI"/>
              </w:rPr>
              <w:t>Predvidena alokacija v mio EUR</w:t>
            </w:r>
          </w:p>
        </w:tc>
      </w:tr>
      <w:tr w:rsidR="00B9692B" w:rsidRPr="006E0441" w:rsidTr="009C510D">
        <w:trPr>
          <w:trHeight w:val="248"/>
        </w:trPr>
        <w:tc>
          <w:tcPr>
            <w:tcW w:w="5071" w:type="dxa"/>
            <w:tcBorders>
              <w:top w:val="nil"/>
              <w:left w:val="single" w:sz="4" w:space="0" w:color="auto"/>
              <w:bottom w:val="single" w:sz="4" w:space="0" w:color="auto"/>
              <w:right w:val="single" w:sz="4" w:space="0" w:color="auto"/>
            </w:tcBorders>
            <w:shd w:val="clear" w:color="auto" w:fill="auto"/>
            <w:noWrap/>
            <w:vAlign w:val="bottom"/>
            <w:hideMark/>
          </w:tcPr>
          <w:p w:rsidR="00B9692B" w:rsidRPr="006E0441" w:rsidRDefault="00B9692B" w:rsidP="00B9692B">
            <w:pPr>
              <w:spacing w:after="0" w:line="240" w:lineRule="auto"/>
              <w:rPr>
                <w:szCs w:val="20"/>
              </w:rPr>
            </w:pPr>
            <w:r w:rsidRPr="006E0441">
              <w:rPr>
                <w:szCs w:val="20"/>
              </w:rPr>
              <w:t>Krepitev odpornosti zdravstvenih sistemov</w:t>
            </w:r>
          </w:p>
        </w:tc>
        <w:tc>
          <w:tcPr>
            <w:tcW w:w="2754" w:type="dxa"/>
            <w:tcBorders>
              <w:top w:val="nil"/>
              <w:left w:val="nil"/>
              <w:bottom w:val="single" w:sz="4" w:space="0" w:color="auto"/>
              <w:right w:val="single" w:sz="4" w:space="0" w:color="auto"/>
            </w:tcBorders>
            <w:shd w:val="clear" w:color="auto" w:fill="auto"/>
            <w:noWrap/>
            <w:vAlign w:val="center"/>
            <w:hideMark/>
          </w:tcPr>
          <w:p w:rsidR="00B9692B" w:rsidRPr="006E0441" w:rsidRDefault="00B9692B" w:rsidP="009C510D">
            <w:pPr>
              <w:spacing w:after="0" w:line="240" w:lineRule="auto"/>
              <w:jc w:val="right"/>
              <w:rPr>
                <w:rFonts w:ascii="Calibri" w:eastAsia="Times New Roman" w:hAnsi="Calibri" w:cs="Calibri"/>
                <w:color w:val="000000"/>
                <w:lang w:eastAsia="sl-SI"/>
              </w:rPr>
            </w:pPr>
            <w:r w:rsidRPr="006E0441">
              <w:rPr>
                <w:rFonts w:ascii="Calibri" w:eastAsia="Times New Roman" w:hAnsi="Calibri" w:cs="Calibri"/>
                <w:color w:val="000000"/>
                <w:lang w:eastAsia="sl-SI"/>
              </w:rPr>
              <w:t>1</w:t>
            </w:r>
            <w:r w:rsidR="00875C6C" w:rsidRPr="006E0441">
              <w:rPr>
                <w:rFonts w:ascii="Calibri" w:eastAsia="Times New Roman" w:hAnsi="Calibri" w:cs="Calibri"/>
                <w:color w:val="000000"/>
                <w:lang w:eastAsia="sl-SI"/>
              </w:rPr>
              <w:t>41</w:t>
            </w:r>
            <w:r w:rsidRPr="006E0441">
              <w:rPr>
                <w:rFonts w:ascii="Calibri" w:eastAsia="Times New Roman" w:hAnsi="Calibri" w:cs="Calibri"/>
                <w:color w:val="000000"/>
                <w:lang w:eastAsia="sl-SI"/>
              </w:rPr>
              <w:t xml:space="preserve">,70 EUR </w:t>
            </w:r>
          </w:p>
        </w:tc>
      </w:tr>
      <w:tr w:rsidR="00B9692B" w:rsidRPr="006E0441" w:rsidTr="009C510D">
        <w:trPr>
          <w:trHeight w:val="248"/>
        </w:trPr>
        <w:tc>
          <w:tcPr>
            <w:tcW w:w="5071" w:type="dxa"/>
            <w:tcBorders>
              <w:top w:val="nil"/>
              <w:left w:val="single" w:sz="4" w:space="0" w:color="auto"/>
              <w:bottom w:val="single" w:sz="4" w:space="0" w:color="auto"/>
              <w:right w:val="single" w:sz="4" w:space="0" w:color="auto"/>
            </w:tcBorders>
            <w:shd w:val="clear" w:color="auto" w:fill="auto"/>
            <w:noWrap/>
            <w:vAlign w:val="bottom"/>
            <w:hideMark/>
          </w:tcPr>
          <w:p w:rsidR="00B9692B" w:rsidRPr="006E0441" w:rsidRDefault="00B9692B">
            <w:pPr>
              <w:spacing w:after="0" w:line="240" w:lineRule="auto"/>
              <w:rPr>
                <w:szCs w:val="20"/>
              </w:rPr>
            </w:pPr>
            <w:r w:rsidRPr="006E0441">
              <w:rPr>
                <w:szCs w:val="20"/>
              </w:rPr>
              <w:t>DSO - dodatne domske kapacitete in socialne storitve</w:t>
            </w:r>
          </w:p>
        </w:tc>
        <w:tc>
          <w:tcPr>
            <w:tcW w:w="2754" w:type="dxa"/>
            <w:tcBorders>
              <w:top w:val="nil"/>
              <w:left w:val="nil"/>
              <w:bottom w:val="single" w:sz="4" w:space="0" w:color="auto"/>
              <w:right w:val="single" w:sz="4" w:space="0" w:color="auto"/>
            </w:tcBorders>
            <w:shd w:val="clear" w:color="auto" w:fill="auto"/>
            <w:noWrap/>
            <w:vAlign w:val="center"/>
            <w:hideMark/>
          </w:tcPr>
          <w:p w:rsidR="00B9692B" w:rsidRPr="006E0441" w:rsidRDefault="00563A74" w:rsidP="009C510D">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97,90</w:t>
            </w:r>
            <w:r w:rsidR="008C085F" w:rsidRPr="006E0441">
              <w:rPr>
                <w:rFonts w:ascii="Calibri" w:eastAsia="Times New Roman" w:hAnsi="Calibri" w:cs="Calibri"/>
                <w:color w:val="000000"/>
                <w:lang w:eastAsia="sl-SI"/>
              </w:rPr>
              <w:t xml:space="preserve"> </w:t>
            </w:r>
            <w:r w:rsidR="00B9692B" w:rsidRPr="006E0441">
              <w:rPr>
                <w:rFonts w:ascii="Calibri" w:eastAsia="Times New Roman" w:hAnsi="Calibri" w:cs="Calibri"/>
                <w:color w:val="000000"/>
                <w:lang w:eastAsia="sl-SI"/>
              </w:rPr>
              <w:t xml:space="preserve">EUR </w:t>
            </w:r>
          </w:p>
        </w:tc>
      </w:tr>
      <w:tr w:rsidR="00B9692B" w:rsidRPr="006E0441" w:rsidTr="009C510D">
        <w:trPr>
          <w:trHeight w:val="248"/>
        </w:trPr>
        <w:tc>
          <w:tcPr>
            <w:tcW w:w="5071" w:type="dxa"/>
            <w:tcBorders>
              <w:top w:val="nil"/>
              <w:left w:val="single" w:sz="4" w:space="0" w:color="auto"/>
              <w:bottom w:val="single" w:sz="4" w:space="0" w:color="auto"/>
              <w:right w:val="single" w:sz="4" w:space="0" w:color="auto"/>
            </w:tcBorders>
            <w:shd w:val="clear" w:color="auto" w:fill="auto"/>
            <w:noWrap/>
            <w:vAlign w:val="bottom"/>
            <w:hideMark/>
          </w:tcPr>
          <w:p w:rsidR="00B9692B" w:rsidRPr="006E0441" w:rsidRDefault="00B9692B" w:rsidP="00B9692B">
            <w:pPr>
              <w:spacing w:after="0" w:line="240" w:lineRule="auto"/>
              <w:rPr>
                <w:szCs w:val="20"/>
              </w:rPr>
            </w:pPr>
            <w:r w:rsidRPr="006E0441">
              <w:rPr>
                <w:szCs w:val="20"/>
              </w:rPr>
              <w:t>Digitalni in zeleni prehod</w:t>
            </w:r>
          </w:p>
        </w:tc>
        <w:tc>
          <w:tcPr>
            <w:tcW w:w="2754" w:type="dxa"/>
            <w:tcBorders>
              <w:top w:val="nil"/>
              <w:left w:val="nil"/>
              <w:bottom w:val="single" w:sz="4" w:space="0" w:color="auto"/>
              <w:right w:val="single" w:sz="4" w:space="0" w:color="auto"/>
            </w:tcBorders>
            <w:shd w:val="clear" w:color="auto" w:fill="auto"/>
            <w:noWrap/>
            <w:vAlign w:val="center"/>
            <w:hideMark/>
          </w:tcPr>
          <w:p w:rsidR="00B9692B" w:rsidRPr="006E0441" w:rsidRDefault="00E34A9B" w:rsidP="009C510D">
            <w:pPr>
              <w:spacing w:after="0" w:line="240" w:lineRule="auto"/>
              <w:jc w:val="right"/>
              <w:rPr>
                <w:rFonts w:ascii="Calibri" w:eastAsia="Times New Roman" w:hAnsi="Calibri" w:cs="Calibri"/>
                <w:color w:val="000000"/>
                <w:lang w:eastAsia="sl-SI"/>
              </w:rPr>
            </w:pPr>
            <w:r w:rsidRPr="006E0441">
              <w:rPr>
                <w:rFonts w:ascii="Calibri" w:eastAsia="Times New Roman" w:hAnsi="Calibri" w:cs="Calibri"/>
                <w:color w:val="000000"/>
                <w:lang w:eastAsia="sl-SI"/>
              </w:rPr>
              <w:t>77</w:t>
            </w:r>
            <w:r w:rsidR="00B9692B" w:rsidRPr="006E0441">
              <w:rPr>
                <w:rFonts w:ascii="Calibri" w:eastAsia="Times New Roman" w:hAnsi="Calibri" w:cs="Calibri"/>
                <w:color w:val="000000"/>
                <w:lang w:eastAsia="sl-SI"/>
              </w:rPr>
              <w:t xml:space="preserve">,50 EUR </w:t>
            </w:r>
          </w:p>
        </w:tc>
      </w:tr>
      <w:tr w:rsidR="00B9692B" w:rsidRPr="006E0441" w:rsidTr="009C510D">
        <w:trPr>
          <w:trHeight w:val="248"/>
        </w:trPr>
        <w:tc>
          <w:tcPr>
            <w:tcW w:w="5071" w:type="dxa"/>
            <w:tcBorders>
              <w:top w:val="nil"/>
              <w:left w:val="single" w:sz="4" w:space="0" w:color="auto"/>
              <w:bottom w:val="single" w:sz="4" w:space="0" w:color="auto"/>
              <w:right w:val="single" w:sz="4" w:space="0" w:color="auto"/>
            </w:tcBorders>
            <w:shd w:val="clear" w:color="auto" w:fill="auto"/>
            <w:noWrap/>
            <w:vAlign w:val="bottom"/>
            <w:hideMark/>
          </w:tcPr>
          <w:p w:rsidR="00B9692B" w:rsidRPr="006E0441" w:rsidRDefault="00B9692B" w:rsidP="00B9692B">
            <w:pPr>
              <w:spacing w:after="0" w:line="240" w:lineRule="auto"/>
              <w:rPr>
                <w:szCs w:val="20"/>
              </w:rPr>
            </w:pPr>
            <w:r w:rsidRPr="006E0441">
              <w:rPr>
                <w:szCs w:val="20"/>
              </w:rPr>
              <w:t>Ohranjanje in ustvarjanje delovnih mest</w:t>
            </w:r>
          </w:p>
        </w:tc>
        <w:tc>
          <w:tcPr>
            <w:tcW w:w="2754" w:type="dxa"/>
            <w:tcBorders>
              <w:top w:val="nil"/>
              <w:left w:val="nil"/>
              <w:bottom w:val="single" w:sz="4" w:space="0" w:color="auto"/>
              <w:right w:val="single" w:sz="4" w:space="0" w:color="auto"/>
            </w:tcBorders>
            <w:shd w:val="clear" w:color="auto" w:fill="auto"/>
            <w:noWrap/>
            <w:vAlign w:val="center"/>
            <w:hideMark/>
          </w:tcPr>
          <w:p w:rsidR="00B9692B" w:rsidRPr="006E0441" w:rsidRDefault="008C085F">
            <w:pPr>
              <w:spacing w:after="0" w:line="240" w:lineRule="auto"/>
              <w:jc w:val="right"/>
              <w:rPr>
                <w:rFonts w:ascii="Calibri" w:eastAsia="Times New Roman" w:hAnsi="Calibri" w:cs="Calibri"/>
                <w:color w:val="000000"/>
                <w:lang w:eastAsia="sl-SI"/>
              </w:rPr>
            </w:pPr>
            <w:r w:rsidRPr="006E0441">
              <w:rPr>
                <w:rFonts w:ascii="Calibri" w:eastAsia="Times New Roman" w:hAnsi="Calibri" w:cs="Calibri"/>
                <w:color w:val="000000"/>
                <w:lang w:eastAsia="sl-SI"/>
              </w:rPr>
              <w:t>4</w:t>
            </w:r>
            <w:r w:rsidR="00B9692B" w:rsidRPr="006E0441">
              <w:rPr>
                <w:rFonts w:ascii="Calibri" w:eastAsia="Times New Roman" w:hAnsi="Calibri" w:cs="Calibri"/>
                <w:color w:val="000000"/>
                <w:lang w:eastAsia="sl-SI"/>
              </w:rPr>
              <w:t xml:space="preserve">7,50 EUR </w:t>
            </w:r>
          </w:p>
        </w:tc>
      </w:tr>
      <w:tr w:rsidR="00B9692B" w:rsidRPr="006E0441" w:rsidTr="009C510D">
        <w:trPr>
          <w:trHeight w:val="248"/>
        </w:trPr>
        <w:tc>
          <w:tcPr>
            <w:tcW w:w="5071" w:type="dxa"/>
            <w:tcBorders>
              <w:top w:val="nil"/>
              <w:left w:val="single" w:sz="4" w:space="0" w:color="auto"/>
              <w:bottom w:val="single" w:sz="4" w:space="0" w:color="auto"/>
              <w:right w:val="single" w:sz="4" w:space="0" w:color="auto"/>
            </w:tcBorders>
            <w:shd w:val="clear" w:color="auto" w:fill="auto"/>
            <w:noWrap/>
            <w:vAlign w:val="bottom"/>
            <w:hideMark/>
          </w:tcPr>
          <w:p w:rsidR="00B9692B" w:rsidRPr="006E0441" w:rsidRDefault="00B9692B" w:rsidP="00B9692B">
            <w:pPr>
              <w:spacing w:after="0" w:line="240" w:lineRule="auto"/>
              <w:rPr>
                <w:szCs w:val="20"/>
              </w:rPr>
            </w:pPr>
            <w:r w:rsidRPr="006E0441">
              <w:rPr>
                <w:szCs w:val="20"/>
              </w:rPr>
              <w:t>Zagotavljanje obratnega kapitala in naložbene podpore malim in srednje velikim podjetjem</w:t>
            </w:r>
          </w:p>
        </w:tc>
        <w:tc>
          <w:tcPr>
            <w:tcW w:w="2754" w:type="dxa"/>
            <w:tcBorders>
              <w:top w:val="nil"/>
              <w:left w:val="nil"/>
              <w:bottom w:val="single" w:sz="4" w:space="0" w:color="auto"/>
              <w:right w:val="single" w:sz="4" w:space="0" w:color="auto"/>
            </w:tcBorders>
            <w:shd w:val="clear" w:color="auto" w:fill="auto"/>
            <w:noWrap/>
            <w:vAlign w:val="center"/>
            <w:hideMark/>
          </w:tcPr>
          <w:p w:rsidR="00B9692B" w:rsidRPr="006E0441" w:rsidRDefault="00B9692B" w:rsidP="009C510D">
            <w:pPr>
              <w:spacing w:after="0" w:line="240" w:lineRule="auto"/>
              <w:jc w:val="right"/>
              <w:rPr>
                <w:rFonts w:ascii="Calibri" w:eastAsia="Times New Roman" w:hAnsi="Calibri" w:cs="Calibri"/>
                <w:color w:val="000000"/>
                <w:lang w:eastAsia="sl-SI"/>
              </w:rPr>
            </w:pPr>
            <w:r w:rsidRPr="006E0441">
              <w:rPr>
                <w:rFonts w:ascii="Calibri" w:eastAsia="Times New Roman" w:hAnsi="Calibri" w:cs="Calibri"/>
                <w:color w:val="000000"/>
                <w:lang w:eastAsia="sl-SI"/>
              </w:rPr>
              <w:t xml:space="preserve">13,00 EUR </w:t>
            </w:r>
          </w:p>
        </w:tc>
      </w:tr>
      <w:tr w:rsidR="00B9692B" w:rsidRPr="006E0441" w:rsidTr="009C510D">
        <w:trPr>
          <w:trHeight w:val="248"/>
        </w:trPr>
        <w:tc>
          <w:tcPr>
            <w:tcW w:w="5071" w:type="dxa"/>
            <w:tcBorders>
              <w:top w:val="nil"/>
              <w:left w:val="single" w:sz="4" w:space="0" w:color="auto"/>
              <w:bottom w:val="single" w:sz="4" w:space="0" w:color="auto"/>
              <w:right w:val="single" w:sz="4" w:space="0" w:color="auto"/>
            </w:tcBorders>
            <w:shd w:val="clear" w:color="auto" w:fill="auto"/>
            <w:noWrap/>
            <w:vAlign w:val="bottom"/>
            <w:hideMark/>
          </w:tcPr>
          <w:p w:rsidR="00B9692B" w:rsidRPr="006E0441" w:rsidRDefault="00B9692B" w:rsidP="00B9692B">
            <w:pPr>
              <w:spacing w:after="0" w:line="240" w:lineRule="auto"/>
              <w:rPr>
                <w:szCs w:val="20"/>
              </w:rPr>
            </w:pPr>
            <w:r w:rsidRPr="006E0441">
              <w:rPr>
                <w:szCs w:val="20"/>
              </w:rPr>
              <w:t>Podpora najrevnejšim v naši družbi</w:t>
            </w:r>
          </w:p>
        </w:tc>
        <w:tc>
          <w:tcPr>
            <w:tcW w:w="2754" w:type="dxa"/>
            <w:tcBorders>
              <w:top w:val="nil"/>
              <w:left w:val="nil"/>
              <w:bottom w:val="single" w:sz="4" w:space="0" w:color="auto"/>
              <w:right w:val="single" w:sz="4" w:space="0" w:color="auto"/>
            </w:tcBorders>
            <w:shd w:val="clear" w:color="auto" w:fill="auto"/>
            <w:noWrap/>
            <w:vAlign w:val="center"/>
            <w:hideMark/>
          </w:tcPr>
          <w:p w:rsidR="00B9692B" w:rsidRPr="006E0441" w:rsidRDefault="00B9692B" w:rsidP="009C510D">
            <w:pPr>
              <w:spacing w:after="0" w:line="240" w:lineRule="auto"/>
              <w:jc w:val="right"/>
              <w:rPr>
                <w:rFonts w:ascii="Calibri" w:eastAsia="Times New Roman" w:hAnsi="Calibri" w:cs="Calibri"/>
                <w:color w:val="000000"/>
                <w:lang w:eastAsia="sl-SI"/>
              </w:rPr>
            </w:pPr>
            <w:r w:rsidRPr="006E0441">
              <w:rPr>
                <w:rFonts w:ascii="Calibri" w:eastAsia="Times New Roman" w:hAnsi="Calibri" w:cs="Calibri"/>
                <w:color w:val="000000"/>
                <w:lang w:eastAsia="sl-SI"/>
              </w:rPr>
              <w:t xml:space="preserve">8,90 EUR </w:t>
            </w:r>
          </w:p>
        </w:tc>
      </w:tr>
      <w:tr w:rsidR="00B9692B" w:rsidRPr="006E0441" w:rsidTr="00B9692B">
        <w:trPr>
          <w:trHeight w:val="248"/>
        </w:trPr>
        <w:tc>
          <w:tcPr>
            <w:tcW w:w="5071" w:type="dxa"/>
            <w:tcBorders>
              <w:top w:val="nil"/>
              <w:left w:val="single" w:sz="4" w:space="0" w:color="auto"/>
              <w:bottom w:val="single" w:sz="4" w:space="0" w:color="auto"/>
              <w:right w:val="single" w:sz="4" w:space="0" w:color="auto"/>
            </w:tcBorders>
            <w:shd w:val="clear" w:color="DDEBF7" w:fill="D9D9D9"/>
            <w:noWrap/>
            <w:vAlign w:val="bottom"/>
            <w:hideMark/>
          </w:tcPr>
          <w:p w:rsidR="00B9692B" w:rsidRPr="006E0441" w:rsidRDefault="00B9692B" w:rsidP="00B9692B">
            <w:pPr>
              <w:spacing w:after="0" w:line="240" w:lineRule="auto"/>
              <w:rPr>
                <w:rFonts w:ascii="Calibri" w:eastAsia="Times New Roman" w:hAnsi="Calibri" w:cs="Calibri"/>
                <w:b/>
                <w:bCs/>
                <w:color w:val="000000"/>
                <w:lang w:eastAsia="sl-SI"/>
              </w:rPr>
            </w:pPr>
            <w:r w:rsidRPr="006E0441">
              <w:rPr>
                <w:rFonts w:ascii="Calibri" w:eastAsia="Times New Roman" w:hAnsi="Calibri" w:cs="Calibri"/>
                <w:b/>
                <w:bCs/>
                <w:color w:val="000000"/>
                <w:lang w:eastAsia="sl-SI"/>
              </w:rPr>
              <w:t>Skupna vsota</w:t>
            </w:r>
          </w:p>
        </w:tc>
        <w:tc>
          <w:tcPr>
            <w:tcW w:w="2754" w:type="dxa"/>
            <w:tcBorders>
              <w:top w:val="nil"/>
              <w:left w:val="nil"/>
              <w:bottom w:val="single" w:sz="4" w:space="0" w:color="auto"/>
              <w:right w:val="single" w:sz="4" w:space="0" w:color="auto"/>
            </w:tcBorders>
            <w:shd w:val="clear" w:color="000000" w:fill="D9D9D9"/>
            <w:noWrap/>
            <w:vAlign w:val="center"/>
            <w:hideMark/>
          </w:tcPr>
          <w:p w:rsidR="00B9692B" w:rsidRPr="006E0441" w:rsidRDefault="00875C6C" w:rsidP="009C510D">
            <w:pPr>
              <w:spacing w:after="0" w:line="240" w:lineRule="auto"/>
              <w:jc w:val="right"/>
              <w:rPr>
                <w:rFonts w:ascii="Calibri" w:eastAsia="Times New Roman" w:hAnsi="Calibri" w:cs="Calibri"/>
                <w:b/>
                <w:bCs/>
                <w:color w:val="000000"/>
                <w:lang w:eastAsia="sl-SI"/>
              </w:rPr>
            </w:pPr>
            <w:r w:rsidRPr="006E0441">
              <w:rPr>
                <w:rFonts w:ascii="Calibri" w:eastAsia="Times New Roman" w:hAnsi="Calibri" w:cs="Calibri"/>
                <w:b/>
                <w:bCs/>
                <w:color w:val="000000"/>
                <w:lang w:eastAsia="sl-SI"/>
              </w:rPr>
              <w:t>386</w:t>
            </w:r>
            <w:r w:rsidR="00524DB0" w:rsidRPr="006E0441">
              <w:rPr>
                <w:rFonts w:ascii="Calibri" w:eastAsia="Times New Roman" w:hAnsi="Calibri" w:cs="Calibri"/>
                <w:b/>
                <w:bCs/>
                <w:color w:val="000000"/>
                <w:lang w:eastAsia="sl-SI"/>
              </w:rPr>
              <w:t>,</w:t>
            </w:r>
            <w:r w:rsidR="00563A74">
              <w:rPr>
                <w:rFonts w:ascii="Calibri" w:eastAsia="Times New Roman" w:hAnsi="Calibri" w:cs="Calibri"/>
                <w:b/>
                <w:bCs/>
                <w:color w:val="000000"/>
                <w:lang w:eastAsia="sl-SI"/>
              </w:rPr>
              <w:t>00</w:t>
            </w:r>
            <w:r w:rsidR="00B9692B" w:rsidRPr="006E0441">
              <w:rPr>
                <w:rFonts w:ascii="Calibri" w:eastAsia="Times New Roman" w:hAnsi="Calibri" w:cs="Calibri"/>
                <w:b/>
                <w:bCs/>
                <w:color w:val="000000"/>
                <w:lang w:eastAsia="sl-SI"/>
              </w:rPr>
              <w:t xml:space="preserve"> EUR </w:t>
            </w:r>
          </w:p>
        </w:tc>
      </w:tr>
    </w:tbl>
    <w:p w:rsidR="00B9692B" w:rsidRPr="006E0441" w:rsidRDefault="00B9692B" w:rsidP="00BA4606">
      <w:pPr>
        <w:rPr>
          <w:b/>
        </w:rPr>
      </w:pPr>
    </w:p>
    <w:p w:rsidR="003979D8" w:rsidRPr="006E0441" w:rsidRDefault="00725B62" w:rsidP="003979D8">
      <w:pPr>
        <w:rPr>
          <w:rFonts w:ascii="Calibri" w:hAnsi="Calibri" w:cs="Calibri"/>
          <w:b/>
          <w:color w:val="000000"/>
        </w:rPr>
      </w:pPr>
      <w:r>
        <w:t>Predvideni skupni znesek</w:t>
      </w:r>
      <w:r w:rsidR="003979D8" w:rsidRPr="006E0441">
        <w:t>:</w:t>
      </w:r>
      <w:r w:rsidR="008C085F" w:rsidRPr="006E0441">
        <w:t xml:space="preserve"> </w:t>
      </w:r>
      <w:r w:rsidR="00875C6C" w:rsidRPr="006E0441">
        <w:rPr>
          <w:rFonts w:ascii="Calibri" w:hAnsi="Calibri" w:cs="Calibri"/>
          <w:b/>
          <w:color w:val="000000"/>
        </w:rPr>
        <w:t>386</w:t>
      </w:r>
      <w:r w:rsidR="003979D8" w:rsidRPr="006E0441">
        <w:rPr>
          <w:rFonts w:ascii="Calibri" w:hAnsi="Calibri" w:cs="Calibri"/>
          <w:b/>
          <w:color w:val="000000"/>
        </w:rPr>
        <w:t xml:space="preserve"> mio EUR </w:t>
      </w:r>
    </w:p>
    <w:p w:rsidR="003979D8" w:rsidRPr="006E0441" w:rsidRDefault="003979D8" w:rsidP="003979D8">
      <w:pPr>
        <w:rPr>
          <w:rFonts w:ascii="Calibri" w:hAnsi="Calibri" w:cs="Calibri"/>
          <w:color w:val="000000"/>
        </w:rPr>
      </w:pPr>
      <w:r w:rsidRPr="006E0441">
        <w:rPr>
          <w:rFonts w:ascii="Calibri" w:hAnsi="Calibri" w:cs="Calibri"/>
          <w:color w:val="000000"/>
        </w:rPr>
        <w:t xml:space="preserve">Pravice porabe </w:t>
      </w:r>
      <w:proofErr w:type="spellStart"/>
      <w:r w:rsidRPr="006E0441">
        <w:rPr>
          <w:rFonts w:ascii="Calibri" w:hAnsi="Calibri" w:cs="Calibri"/>
          <w:color w:val="000000"/>
        </w:rPr>
        <w:t>React</w:t>
      </w:r>
      <w:proofErr w:type="spellEnd"/>
      <w:r w:rsidRPr="006E0441">
        <w:rPr>
          <w:rFonts w:ascii="Calibri" w:hAnsi="Calibri" w:cs="Calibri"/>
          <w:color w:val="000000"/>
        </w:rPr>
        <w:t xml:space="preserve">-EU: </w:t>
      </w:r>
      <w:r w:rsidR="00F056B8" w:rsidRPr="006E0441">
        <w:rPr>
          <w:rFonts w:ascii="Calibri" w:hAnsi="Calibri" w:cs="Calibri"/>
          <w:b/>
          <w:color w:val="000000"/>
        </w:rPr>
        <w:t>333</w:t>
      </w:r>
      <w:r w:rsidRPr="006E0441">
        <w:rPr>
          <w:rFonts w:ascii="Calibri" w:hAnsi="Calibri" w:cs="Calibri"/>
          <w:b/>
          <w:color w:val="000000"/>
        </w:rPr>
        <w:t xml:space="preserve"> mio EUR</w:t>
      </w:r>
    </w:p>
    <w:p w:rsidR="003979D8" w:rsidRPr="006E0441" w:rsidRDefault="003979D8" w:rsidP="003979D8">
      <w:pPr>
        <w:rPr>
          <w:szCs w:val="20"/>
        </w:rPr>
      </w:pPr>
      <w:r w:rsidRPr="006E0441">
        <w:rPr>
          <w:rFonts w:ascii="Calibri" w:hAnsi="Calibri" w:cs="Calibri"/>
          <w:color w:val="000000"/>
        </w:rPr>
        <w:t xml:space="preserve">Razlika: </w:t>
      </w:r>
      <w:r w:rsidRPr="006E0441">
        <w:rPr>
          <w:rFonts w:ascii="Calibri" w:hAnsi="Calibri" w:cs="Calibri"/>
          <w:color w:val="000000"/>
        </w:rPr>
        <w:tab/>
      </w:r>
      <w:r w:rsidRPr="006E0441">
        <w:rPr>
          <w:rFonts w:ascii="Calibri" w:hAnsi="Calibri" w:cs="Calibri"/>
          <w:color w:val="000000"/>
        </w:rPr>
        <w:tab/>
      </w:r>
      <w:r w:rsidRPr="006E0441">
        <w:rPr>
          <w:rFonts w:ascii="Calibri" w:hAnsi="Calibri" w:cs="Calibri"/>
          <w:b/>
          <w:color w:val="000000"/>
        </w:rPr>
        <w:t>-</w:t>
      </w:r>
      <w:r w:rsidR="00875C6C" w:rsidRPr="006E0441">
        <w:rPr>
          <w:rFonts w:ascii="Calibri" w:hAnsi="Calibri" w:cs="Calibri"/>
          <w:b/>
          <w:color w:val="000000"/>
        </w:rPr>
        <w:t>53</w:t>
      </w:r>
      <w:r w:rsidR="00311EFF" w:rsidRPr="006E0441">
        <w:rPr>
          <w:rFonts w:ascii="Calibri" w:hAnsi="Calibri" w:cs="Calibri"/>
          <w:b/>
          <w:color w:val="000000"/>
        </w:rPr>
        <w:t xml:space="preserve"> </w:t>
      </w:r>
      <w:r w:rsidR="00935504">
        <w:rPr>
          <w:rFonts w:ascii="Calibri" w:hAnsi="Calibri" w:cs="Calibri"/>
          <w:b/>
          <w:color w:val="000000"/>
        </w:rPr>
        <w:t xml:space="preserve">mio </w:t>
      </w:r>
      <w:r w:rsidRPr="006E0441">
        <w:rPr>
          <w:rFonts w:ascii="Calibri" w:hAnsi="Calibri" w:cs="Calibri"/>
          <w:b/>
          <w:color w:val="000000"/>
        </w:rPr>
        <w:t>EUR</w:t>
      </w:r>
    </w:p>
    <w:p w:rsidR="003979D8" w:rsidRPr="006E0441" w:rsidRDefault="003979D8" w:rsidP="003979D8">
      <w:pPr>
        <w:autoSpaceDE w:val="0"/>
        <w:autoSpaceDN w:val="0"/>
        <w:adjustRightInd w:val="0"/>
        <w:spacing w:after="0" w:line="240" w:lineRule="auto"/>
        <w:jc w:val="both"/>
        <w:rPr>
          <w:szCs w:val="20"/>
        </w:rPr>
      </w:pPr>
    </w:p>
    <w:p w:rsidR="003979D8" w:rsidRPr="006E0441" w:rsidRDefault="003979D8" w:rsidP="003979D8">
      <w:pPr>
        <w:autoSpaceDE w:val="0"/>
        <w:autoSpaceDN w:val="0"/>
        <w:adjustRightInd w:val="0"/>
        <w:spacing w:after="0" w:line="240" w:lineRule="auto"/>
        <w:jc w:val="both"/>
        <w:rPr>
          <w:szCs w:val="20"/>
        </w:rPr>
      </w:pPr>
      <w:r w:rsidRPr="006E0441">
        <w:rPr>
          <w:szCs w:val="20"/>
        </w:rPr>
        <w:t xml:space="preserve">Predlogi ukrepov presegajo pravice porabe za </w:t>
      </w:r>
      <w:r w:rsidR="00875C6C" w:rsidRPr="006E0441">
        <w:rPr>
          <w:szCs w:val="20"/>
        </w:rPr>
        <w:t>53</w:t>
      </w:r>
      <w:r w:rsidRPr="006E0441">
        <w:rPr>
          <w:szCs w:val="20"/>
        </w:rPr>
        <w:t xml:space="preserve"> mio EUR. Gre za indikativne vrednosti, ki se bodo tekom izvedbe seveda še prilagodile </w:t>
      </w:r>
      <w:r w:rsidR="00EA5571" w:rsidRPr="006E0441">
        <w:rPr>
          <w:szCs w:val="20"/>
        </w:rPr>
        <w:t>in</w:t>
      </w:r>
      <w:r w:rsidRPr="006E0441">
        <w:rPr>
          <w:szCs w:val="20"/>
        </w:rPr>
        <w:t xml:space="preserve"> racionalizirale. Poleg tega pa je glede na pretekle izkušnje, potrebno za 100</w:t>
      </w:r>
      <w:r w:rsidR="006F1D1B" w:rsidRPr="006E0441">
        <w:rPr>
          <w:szCs w:val="20"/>
        </w:rPr>
        <w:t xml:space="preserve"> </w:t>
      </w:r>
      <w:r w:rsidRPr="006E0441">
        <w:rPr>
          <w:szCs w:val="20"/>
        </w:rPr>
        <w:t>% črpanje potrditi več, kot je</w:t>
      </w:r>
      <w:r w:rsidR="00EA5571" w:rsidRPr="006E0441">
        <w:rPr>
          <w:szCs w:val="20"/>
        </w:rPr>
        <w:t xml:space="preserve"> na voljo</w:t>
      </w:r>
      <w:r w:rsidRPr="006E0441">
        <w:rPr>
          <w:szCs w:val="20"/>
        </w:rPr>
        <w:t xml:space="preserve"> pravic porabe.</w:t>
      </w:r>
      <w:r w:rsidR="00FB5B83" w:rsidRPr="006E0441">
        <w:rPr>
          <w:szCs w:val="20"/>
        </w:rPr>
        <w:t xml:space="preserve"> Ker gre za izjemno kratko obdobje izvajanja, je ocena organa upravljanja, da je % dodatnih pravic porabe</w:t>
      </w:r>
      <w:r w:rsidR="009836AF" w:rsidRPr="006E0441">
        <w:rPr>
          <w:szCs w:val="20"/>
        </w:rPr>
        <w:t xml:space="preserve"> (</w:t>
      </w:r>
      <w:r w:rsidR="00875C6C" w:rsidRPr="006E0441">
        <w:rPr>
          <w:szCs w:val="20"/>
        </w:rPr>
        <w:t>15</w:t>
      </w:r>
      <w:r w:rsidR="00EA5571" w:rsidRPr="006E0441">
        <w:rPr>
          <w:szCs w:val="20"/>
        </w:rPr>
        <w:t>,</w:t>
      </w:r>
      <w:r w:rsidR="00875C6C" w:rsidRPr="006E0441">
        <w:rPr>
          <w:szCs w:val="20"/>
        </w:rPr>
        <w:t>9</w:t>
      </w:r>
      <w:r w:rsidR="00B9692B" w:rsidRPr="006E0441">
        <w:rPr>
          <w:szCs w:val="20"/>
        </w:rPr>
        <w:t xml:space="preserve"> </w:t>
      </w:r>
      <w:r w:rsidR="009836AF" w:rsidRPr="006E0441">
        <w:rPr>
          <w:szCs w:val="20"/>
        </w:rPr>
        <w:t xml:space="preserve">% razpoložljivih sredstev ali </w:t>
      </w:r>
      <w:r w:rsidR="00875C6C" w:rsidRPr="006E0441">
        <w:rPr>
          <w:szCs w:val="20"/>
        </w:rPr>
        <w:t>53</w:t>
      </w:r>
      <w:r w:rsidR="008C085F" w:rsidRPr="006E0441">
        <w:rPr>
          <w:szCs w:val="20"/>
        </w:rPr>
        <w:t xml:space="preserve"> </w:t>
      </w:r>
      <w:r w:rsidR="009836AF" w:rsidRPr="006E0441">
        <w:rPr>
          <w:szCs w:val="20"/>
        </w:rPr>
        <w:t>mio EUR)</w:t>
      </w:r>
      <w:r w:rsidR="00FB5B83" w:rsidRPr="006E0441">
        <w:rPr>
          <w:szCs w:val="20"/>
        </w:rPr>
        <w:t xml:space="preserve"> za zagotovitev 100</w:t>
      </w:r>
      <w:r w:rsidR="006F1D1B" w:rsidRPr="006E0441">
        <w:rPr>
          <w:szCs w:val="20"/>
        </w:rPr>
        <w:t xml:space="preserve"> </w:t>
      </w:r>
      <w:r w:rsidR="00FB5B83" w:rsidRPr="006E0441">
        <w:rPr>
          <w:szCs w:val="20"/>
        </w:rPr>
        <w:t xml:space="preserve">% certifikacije do konca programskega obdobja </w:t>
      </w:r>
      <w:r w:rsidR="003A4F9B" w:rsidRPr="006E0441">
        <w:rPr>
          <w:szCs w:val="20"/>
        </w:rPr>
        <w:t xml:space="preserve">primeren. V kolikor pa bodo zaznane večje težave pri izvedbi, ki bi zahtevale angažiranje dodatnih projektov za porabo sredstev, bo to organ upravljanja v okviru vsebinskih sklopov, ki so na voljo, tudi predlagal. </w:t>
      </w:r>
    </w:p>
    <w:p w:rsidR="0023018A" w:rsidRDefault="0023018A" w:rsidP="00BA4606"/>
    <w:p w:rsidR="00935504" w:rsidRDefault="00935504" w:rsidP="00BA4606"/>
    <w:p w:rsidR="00935504" w:rsidRPr="006E0441" w:rsidRDefault="00935504" w:rsidP="00BA4606"/>
    <w:p w:rsidR="00BA4606" w:rsidRPr="00935504" w:rsidRDefault="00BA4606" w:rsidP="00935504">
      <w:pPr>
        <w:pStyle w:val="Odstavekseznama"/>
        <w:numPr>
          <w:ilvl w:val="0"/>
          <w:numId w:val="17"/>
        </w:numPr>
        <w:rPr>
          <w:b/>
          <w:u w:val="single"/>
        </w:rPr>
      </w:pPr>
      <w:r w:rsidRPr="006E0441">
        <w:rPr>
          <w:b/>
          <w:u w:val="single"/>
        </w:rPr>
        <w:lastRenderedPageBreak/>
        <w:t xml:space="preserve">Področje </w:t>
      </w:r>
      <w:r w:rsidRPr="006E0441">
        <w:rPr>
          <w:b/>
          <w:szCs w:val="20"/>
          <w:u w:val="single"/>
        </w:rPr>
        <w:t>krepitev odpornosti zdravstvenih sistemov</w:t>
      </w:r>
    </w:p>
    <w:p w:rsidR="00BA4606" w:rsidRPr="006E0441" w:rsidRDefault="00BA4606" w:rsidP="00BA4606">
      <w:pPr>
        <w:spacing w:after="0"/>
        <w:jc w:val="both"/>
      </w:pPr>
      <w:r w:rsidRPr="006E0441">
        <w:t>Varstvo prebivalstva pred nalezljivimi boleznimi in bolnišničnimi okužbami obsega sistem družbenih, skupinskih in posamičnih aktivnosti in ukrepov za njihovo preprečevanje, obvladovanje, zdravljenje in odstranjevanje njihovih posledic. V obdobju epidemije COVID-19 so se pokazale pomanjkljivosti v sistemu zdravstvenega varstva pri zagotavljanju ustreznega odziva na tovrstne krize. Na podlagi teh izkušenj bomo, skladno s strateškimi izhodišči reformne zakonodaje in nacionalnega plana zdravstvenega varstva 2016-</w:t>
      </w:r>
      <w:r w:rsidR="00BF2BBD" w:rsidRPr="006E0441">
        <w:t>-</w:t>
      </w:r>
      <w:r w:rsidRPr="006E0441">
        <w:t>2025, izvedli naslednje ukrepe, ki vključujejo tudi najbolj nujne investicije v ureditev optimalnih prostorskih zmožnosti in zagotovitev opreme za učinkovito obravnavo nalezljivih bolezni, spremljanje nalezljivih bolezni in z njimi povezanim ukrepanjem, ukrepe za ozaveščanje prebivalstva in razvoj programov ter kadrovskih</w:t>
      </w:r>
      <w:r w:rsidR="00821D1B">
        <w:t xml:space="preserve"> virov za obvladovanje epidemij, o</w:t>
      </w:r>
      <w:r w:rsidRPr="006E0441">
        <w:t>skrba s kritično opremo in storitvami</w:t>
      </w:r>
      <w:r w:rsidR="00821D1B">
        <w:t>, z</w:t>
      </w:r>
      <w:r w:rsidRPr="006E0441">
        <w:t>agotovitev medicinske opreme, zalog zaščitne in varovalne opreme za JZZ in socialno varstvene in vzgojno izobraževalne zavode, ki izvajajo zdravstveno dejavnost v javni mreži, ter zagotovitev dostopnosti do testiranja za nemoteno izvajanje zdravstvene dejavnosti v času povečanega kroženja virusa SARS-CoV-2. Ukrep</w:t>
      </w:r>
      <w:r w:rsidR="00821D1B">
        <w:t>i</w:t>
      </w:r>
      <w:r w:rsidRPr="006E0441">
        <w:t xml:space="preserve"> prispeva</w:t>
      </w:r>
      <w:r w:rsidR="00821D1B">
        <w:t>jo</w:t>
      </w:r>
      <w:r w:rsidRPr="006E0441">
        <w:t xml:space="preserve"> k večji odpornosti zdravstvenega sistema in sistema DO, vključno z zagotovitvijo zadostnih količin kritične medicinske opreme, zadostnih zalog zaščitne in varovalne opreme in storitvami testiranja. Ukrep</w:t>
      </w:r>
      <w:r w:rsidR="00821D1B">
        <w:t>i</w:t>
      </w:r>
      <w:r w:rsidRPr="006E0441">
        <w:t xml:space="preserve"> bo</w:t>
      </w:r>
      <w:r w:rsidR="00821D1B">
        <w:t>do</w:t>
      </w:r>
      <w:r w:rsidRPr="006E0441">
        <w:t xml:space="preserve"> prispeval</w:t>
      </w:r>
      <w:r w:rsidR="00821D1B">
        <w:t>i</w:t>
      </w:r>
      <w:r w:rsidRPr="006E0441">
        <w:t xml:space="preserve"> tudi k boljšemu obvladovanju epidemije in s te</w:t>
      </w:r>
      <w:r w:rsidR="00821D1B">
        <w:t xml:space="preserve">m h gospodarskemu okrevanju in </w:t>
      </w:r>
      <w:r w:rsidRPr="006E0441">
        <w:t>blažitvi učinkov krize na zaposlenost</w:t>
      </w:r>
      <w:r w:rsidR="00E856D8" w:rsidRPr="006E0441">
        <w:t>, hkrati pa bo prispeval k nadaljnji digitalni preobrazbi zdravstvenega sistema.</w:t>
      </w:r>
    </w:p>
    <w:p w:rsidR="00821D1B" w:rsidRDefault="00821D1B" w:rsidP="006D6FD1">
      <w:pPr>
        <w:autoSpaceDE w:val="0"/>
        <w:autoSpaceDN w:val="0"/>
        <w:adjustRightInd w:val="0"/>
        <w:spacing w:after="0" w:line="240" w:lineRule="auto"/>
        <w:jc w:val="both"/>
        <w:rPr>
          <w:rFonts w:ascii="Calibri" w:hAnsi="Calibri" w:cs="Calibri"/>
        </w:rPr>
      </w:pPr>
      <w:r>
        <w:rPr>
          <w:rFonts w:ascii="Calibri" w:hAnsi="Calibri" w:cs="Calibri"/>
        </w:rPr>
        <w:t>Ključen je tudi hiter s</w:t>
      </w:r>
      <w:r w:rsidR="00BA4606" w:rsidRPr="006E0441">
        <w:rPr>
          <w:rFonts w:ascii="Calibri" w:hAnsi="Calibri" w:cs="Calibri"/>
        </w:rPr>
        <w:t>prejem in izvajanje ukrepov, ki zagotavljajo kakovost, dostopnost storitev in učinkovite organizacije</w:t>
      </w:r>
      <w:r>
        <w:rPr>
          <w:rFonts w:ascii="Calibri" w:hAnsi="Calibri" w:cs="Calibri"/>
        </w:rPr>
        <w:t xml:space="preserve"> </w:t>
      </w:r>
      <w:r w:rsidR="00BA4606" w:rsidRPr="006E0441">
        <w:rPr>
          <w:rFonts w:ascii="Calibri" w:hAnsi="Calibri" w:cs="Calibri"/>
        </w:rPr>
        <w:t>procesov ter okolja za</w:t>
      </w:r>
      <w:r>
        <w:rPr>
          <w:rFonts w:ascii="Calibri" w:hAnsi="Calibri" w:cs="Calibri"/>
        </w:rPr>
        <w:t>,</w:t>
      </w:r>
      <w:r w:rsidR="00BA4606" w:rsidRPr="006E0441">
        <w:rPr>
          <w:rFonts w:ascii="Calibri" w:hAnsi="Calibri" w:cs="Calibri"/>
        </w:rPr>
        <w:t xml:space="preserve"> v povezavi z okužbo s SARS-CoV-2</w:t>
      </w:r>
      <w:r>
        <w:rPr>
          <w:rFonts w:ascii="Calibri" w:hAnsi="Calibri" w:cs="Calibri"/>
        </w:rPr>
        <w:t>,</w:t>
      </w:r>
      <w:r w:rsidR="00BA4606" w:rsidRPr="006E0441">
        <w:rPr>
          <w:rFonts w:ascii="Calibri" w:hAnsi="Calibri" w:cs="Calibri"/>
        </w:rPr>
        <w:t xml:space="preserve"> ranljivo skupino starejših oseb. </w:t>
      </w:r>
    </w:p>
    <w:p w:rsidR="00BA4606" w:rsidRPr="006E0441" w:rsidRDefault="00BA4606" w:rsidP="00F96696"/>
    <w:p w:rsidR="0023018A" w:rsidRPr="006E0441" w:rsidRDefault="00D259FB" w:rsidP="009C510D">
      <w:pPr>
        <w:pStyle w:val="Odstavekseznama"/>
        <w:numPr>
          <w:ilvl w:val="0"/>
          <w:numId w:val="17"/>
        </w:numPr>
        <w:rPr>
          <w:b/>
          <w:u w:val="single"/>
        </w:rPr>
      </w:pPr>
      <w:r w:rsidRPr="006E0441">
        <w:rPr>
          <w:b/>
          <w:u w:val="single"/>
        </w:rPr>
        <w:t>DSO - dodatne domske kapacitete in socialne storitve</w:t>
      </w:r>
    </w:p>
    <w:p w:rsidR="00D259FB" w:rsidRPr="006E0441" w:rsidRDefault="00EA5571" w:rsidP="00896C26">
      <w:pPr>
        <w:jc w:val="both"/>
      </w:pPr>
      <w:r w:rsidRPr="006E0441">
        <w:t xml:space="preserve">Kot izhaja že iz prej navedene točke so se v času epidemije kot najbolj ranljiva skupina izkazali starejši, še zlasti tisti, ki so prebivali v domovih za starejše. Zaradi v Sloveniji (tudi primerjalno na ravni EU) zelo visokemu deležu umrlih med starejšo populacijo, ki je prebivala v domovih za starejše, </w:t>
      </w:r>
      <w:r w:rsidR="00887630" w:rsidRPr="006E0441">
        <w:t>je posledično potrebno zagotoviti ustrezno kadrovsko podporo obstoječim ustanovam, hkrati pa zagotoviti ustrezne prostorske kapacitete, ki bodo preventivno delovale tudi na obremenitev zdravstvenega sistema pri morebitnih naslednjih valih epidemije</w:t>
      </w:r>
      <w:r w:rsidR="00821D1B">
        <w:t xml:space="preserve"> (preko 10.000 starostnikov, ki čaka na sprejem v dom za starejše)</w:t>
      </w:r>
      <w:r w:rsidR="00887630" w:rsidRPr="006E0441">
        <w:t xml:space="preserve">. </w:t>
      </w:r>
    </w:p>
    <w:p w:rsidR="007F0DBC" w:rsidRPr="006E0441" w:rsidRDefault="007F0DBC" w:rsidP="009C510D">
      <w:pPr>
        <w:rPr>
          <w:b/>
          <w:u w:val="single"/>
        </w:rPr>
      </w:pPr>
    </w:p>
    <w:p w:rsidR="00D259FB" w:rsidRPr="00935504" w:rsidRDefault="00D259FB" w:rsidP="00935504">
      <w:pPr>
        <w:pStyle w:val="Odstavekseznama"/>
        <w:numPr>
          <w:ilvl w:val="0"/>
          <w:numId w:val="17"/>
        </w:numPr>
        <w:rPr>
          <w:b/>
          <w:u w:val="single"/>
        </w:rPr>
      </w:pPr>
      <w:r w:rsidRPr="006E0441">
        <w:rPr>
          <w:b/>
          <w:u w:val="single"/>
        </w:rPr>
        <w:t>Digitalni in zeleni prehod</w:t>
      </w:r>
    </w:p>
    <w:p w:rsidR="00D259FB" w:rsidRPr="006E0441" w:rsidRDefault="00D259FB" w:rsidP="00D259FB">
      <w:pPr>
        <w:spacing w:after="0"/>
        <w:jc w:val="both"/>
      </w:pPr>
      <w:r w:rsidRPr="006E0441">
        <w:t xml:space="preserve">Prednostno se v okviru tega področja predvideva omogočiti in spodbuditi rast in razvoj MSP na osnovi vlaganj v uporabo digitalnega poslovanja v svojih dobaviteljskih in/ali prodajnih verigah, vključno na tujih trgih, dviga upravljavskih kapacitet, vpeljava digitalnih poslovnih modelov, izvedbe investicij za namene digitalne preobrazbe v proizvodnjo in poslovanje MSP, povečanje dodane vrednosti na zaposlenega ter ohranitev delovnih mest v podprtih podjetjih. Vlaganja (v znanje, usposobljenost, opremo, itd.) bodo MSP omogočala prestrukturiranje in modernizacijo poslovnih in proizvodnih procesov ter uvedbo novih digitalnih poslovnih modelov in s tem kratkoročno ohranitev tržnega položaja ter dolgoročno krepitev položaja na obstoječih in prodor na nove trge ter tržne niše. Prav tako bomo z ukrepom omogočili sofinanciranje storitev podpornega okolja na področju digitalizacije (EDIH), ki bodo spodbujale MSP k digitalni transformaciji prek povezovanja deležnikov na področju digitalizacije, razvoju digitalnih kompetenc, dostop do testnih okolij, prenosu dobrih praks, ozaveščenosti, itd. Digitalizacija bo podprta tudi na drugih vsebinah, v največji možni meri kot neke vrste horizontalna aktivnost, še posebej na področju zdravstva, vzgoje in izobraževanja, kjer bodo </w:t>
      </w:r>
      <w:r w:rsidRPr="006E0441">
        <w:lastRenderedPageBreak/>
        <w:t>narejeni nadaljnji koraki k digitalnemu prehodu.</w:t>
      </w:r>
      <w:r w:rsidR="00887630" w:rsidRPr="006E0441">
        <w:t xml:space="preserve"> </w:t>
      </w:r>
      <w:r w:rsidR="00F25F9E" w:rsidRPr="006E0441">
        <w:rPr>
          <w:rFonts w:cstheme="minorHAnsi"/>
        </w:rPr>
        <w:t xml:space="preserve">Pole tega bodo ukrepi prispevali k zelenemu prehodu, še posebej na področju javnega potniškega prometa, ki je bil zaradi krize COVID-19 še posebej prizadet, saj je število potnikov upadlo za 90% glede na enaka obdobja preteklih let. Z večjo uporabo JPP se bodo zmanjšale tudi socialne razlike med državljani (neodvisnost od osebnega avtomobila). </w:t>
      </w:r>
      <w:r w:rsidR="00887630" w:rsidRPr="006E0441">
        <w:t xml:space="preserve">V okviru navedene spremembe OP so zaradi nujnosti ostalih kratkoročnih ukrepov ter omejenosti sredstev ukrepi digitalnega in zelenega prehoda predvideni v sorazmerno majhnem obsegu, bistven poudarek področju se načrtuje v okviru preostalih mehanizmov </w:t>
      </w:r>
      <w:r w:rsidR="006E0441" w:rsidRPr="006E0441">
        <w:t>financiranja</w:t>
      </w:r>
      <w:r w:rsidR="00887630" w:rsidRPr="006E0441">
        <w:t xml:space="preserve"> (RRF, VFO21-27). </w:t>
      </w:r>
      <w:r w:rsidRPr="006E0441">
        <w:t xml:space="preserve"> </w:t>
      </w:r>
    </w:p>
    <w:p w:rsidR="00D259FB" w:rsidRPr="006E0441" w:rsidRDefault="00D259FB" w:rsidP="00D259FB">
      <w:pPr>
        <w:spacing w:after="0"/>
        <w:jc w:val="both"/>
      </w:pPr>
    </w:p>
    <w:p w:rsidR="00BA4606" w:rsidRPr="00935504" w:rsidRDefault="00BA4606" w:rsidP="00935504">
      <w:pPr>
        <w:pStyle w:val="Odstavekseznama"/>
        <w:numPr>
          <w:ilvl w:val="0"/>
          <w:numId w:val="17"/>
        </w:numPr>
        <w:rPr>
          <w:b/>
          <w:u w:val="single"/>
        </w:rPr>
      </w:pPr>
      <w:r w:rsidRPr="006E0441">
        <w:rPr>
          <w:b/>
          <w:u w:val="single"/>
        </w:rPr>
        <w:t>Podpora ohranitvi delovnih mest</w:t>
      </w:r>
    </w:p>
    <w:p w:rsidR="00BA4606" w:rsidRPr="006E0441" w:rsidRDefault="00BA4606" w:rsidP="00BA4606">
      <w:pPr>
        <w:spacing w:after="0"/>
        <w:jc w:val="both"/>
      </w:pPr>
      <w:r w:rsidRPr="006E0441">
        <w:t>Ključen ukrep in finančno tudi največji</w:t>
      </w:r>
      <w:r w:rsidR="006172D5" w:rsidRPr="006E0441">
        <w:t xml:space="preserve"> </w:t>
      </w:r>
      <w:r w:rsidRPr="006E0441">
        <w:t xml:space="preserve">iz sredstev </w:t>
      </w:r>
      <w:proofErr w:type="spellStart"/>
      <w:r w:rsidRPr="006E0441">
        <w:t>React</w:t>
      </w:r>
      <w:proofErr w:type="spellEnd"/>
      <w:r w:rsidRPr="006E0441">
        <w:t xml:space="preserve">-EU je </w:t>
      </w:r>
      <w:r w:rsidRPr="006E0441">
        <w:rPr>
          <w:b/>
        </w:rPr>
        <w:t>ukrep skrajšanja delovnega časa</w:t>
      </w:r>
      <w:r w:rsidRPr="006E0441">
        <w:t xml:space="preserve">, ki je namenjen ohranitvi delovnih mest, ki bi bila sicer zaradi posledic epidemije </w:t>
      </w:r>
      <w:proofErr w:type="spellStart"/>
      <w:r w:rsidRPr="006E0441">
        <w:t>koronavirusa</w:t>
      </w:r>
      <w:proofErr w:type="spellEnd"/>
      <w:r w:rsidRPr="006E0441">
        <w:t xml:space="preserve"> ogrožena in premoščanju začasnega poslovnega zatišja v obdobju okrevanja po epidemiji ter pomoč pri ponovnem zagonu in postopnem povečanju poslovanja. Ukrepi tudi ščiti delavce, katerih zaposlitev je ogrožena, pred prehodom v brezposelnost in socialno stisko. Namen ukrepa je ohranitev zaposlitev za polni delovni čas in pomoč podjetjem pri premostitvi poslovne škode, nastale zaradi epidemije COVID-19. Zaradi posledic epidemije je pričakovati, da bodo imela podjetja težave pri zagotavljanju enakega obsega naročil in dela, kot v obdobju pred epidemijo. Okrevanje gospodarstva bo počasno, zato so nujni ukrepi za ohranitev delovnih mest. Ukrep skrajšanja delovnega časa z ohranjanjem delovnih mest preprečuje prehod zaposlenih v prizadetih sektorjih v odprto brezposelnost. V času dela s krajšim delovnim časom se bo spodbujalo usposabljanje delavcev, s čimer se bo omogočala njihova večja zaposljivost ter lažji prehod v drugo zaposlitev v primeru izgube zaposlitve. </w:t>
      </w:r>
    </w:p>
    <w:p w:rsidR="00BA4606" w:rsidRPr="006E0441" w:rsidRDefault="00BA4606" w:rsidP="00BA4606">
      <w:pPr>
        <w:spacing w:after="0"/>
        <w:jc w:val="both"/>
      </w:pPr>
    </w:p>
    <w:p w:rsidR="00D259FB" w:rsidRPr="00935504" w:rsidRDefault="00D259FB" w:rsidP="00935504">
      <w:pPr>
        <w:pStyle w:val="Odstavekseznama"/>
        <w:numPr>
          <w:ilvl w:val="0"/>
          <w:numId w:val="17"/>
        </w:numPr>
        <w:rPr>
          <w:b/>
          <w:u w:val="single"/>
        </w:rPr>
      </w:pPr>
      <w:r w:rsidRPr="006E0441">
        <w:rPr>
          <w:b/>
          <w:u w:val="single"/>
        </w:rPr>
        <w:t>Zagotavljanje obratnega kapitala in naložbene podpore malim in srednje velikim podjetjem</w:t>
      </w:r>
    </w:p>
    <w:p w:rsidR="00D259FB" w:rsidRPr="006E0441" w:rsidRDefault="00D259FB" w:rsidP="00D259FB">
      <w:pPr>
        <w:spacing w:after="0"/>
        <w:jc w:val="both"/>
      </w:pPr>
      <w:r w:rsidRPr="006E0441">
        <w:t xml:space="preserve">V času razglasitve epidemije COVID-19 je bilo več socialnih podjetji primorano ustaviti dejavnosti, saj niso opremljena z opremo, ki omogoča digitalno oziroma e-poslovanje. Zaradi možnosti ponovitve epidemije in nujnosti prehoda k digitalnemu poslovanju, ki omogoča zagotavljanje storitev in poslovanja na daljavo ter zmanjšuje obremenitev okolja je podpora tovrstnim podjetjem, ki hkrati zaposlujejo najbolj ranljive skupine na trgu dela, nujna za ohranjanje njihove konkurenčnosti in nadaljnjega poslovanja. Delno so se ta sredstva sicer že namenila tudi v okviru spremembe OP 5.0 in sicer z dodano okrepljenimi finančnimi instrumenti v višini 65 mio EUR. </w:t>
      </w:r>
    </w:p>
    <w:p w:rsidR="0023018A" w:rsidRPr="006E0441" w:rsidRDefault="0023018A" w:rsidP="006D6FD1">
      <w:pPr>
        <w:spacing w:after="0"/>
        <w:jc w:val="both"/>
      </w:pPr>
    </w:p>
    <w:p w:rsidR="00280335" w:rsidRPr="00935504" w:rsidRDefault="00280335" w:rsidP="00935504">
      <w:pPr>
        <w:pStyle w:val="Odstavekseznama"/>
        <w:numPr>
          <w:ilvl w:val="0"/>
          <w:numId w:val="17"/>
        </w:numPr>
        <w:rPr>
          <w:b/>
          <w:u w:val="single"/>
        </w:rPr>
      </w:pPr>
      <w:r w:rsidRPr="006E0441">
        <w:rPr>
          <w:b/>
          <w:u w:val="single"/>
        </w:rPr>
        <w:t>Podpora najrevnejšim v naši družbi</w:t>
      </w:r>
    </w:p>
    <w:p w:rsidR="00280335" w:rsidRPr="008175E9" w:rsidRDefault="00280335" w:rsidP="008175E9">
      <w:pPr>
        <w:jc w:val="both"/>
        <w:rPr>
          <w:b/>
          <w:szCs w:val="20"/>
        </w:rPr>
      </w:pPr>
      <w:r w:rsidRPr="006E0441">
        <w:rPr>
          <w:szCs w:val="20"/>
        </w:rPr>
        <w:t xml:space="preserve">Del sredstva </w:t>
      </w:r>
      <w:proofErr w:type="spellStart"/>
      <w:r w:rsidRPr="006E0441">
        <w:rPr>
          <w:szCs w:val="20"/>
        </w:rPr>
        <w:t>React</w:t>
      </w:r>
      <w:proofErr w:type="spellEnd"/>
      <w:r w:rsidRPr="006E0441">
        <w:rPr>
          <w:szCs w:val="20"/>
        </w:rPr>
        <w:t xml:space="preserve">-EU </w:t>
      </w:r>
      <w:r w:rsidR="008175E9">
        <w:rPr>
          <w:szCs w:val="20"/>
        </w:rPr>
        <w:t xml:space="preserve">se </w:t>
      </w:r>
      <w:r w:rsidRPr="006E0441">
        <w:rPr>
          <w:szCs w:val="20"/>
        </w:rPr>
        <w:t>v Sloveniji namen</w:t>
      </w:r>
      <w:r w:rsidR="008175E9">
        <w:rPr>
          <w:szCs w:val="20"/>
        </w:rPr>
        <w:t>ja</w:t>
      </w:r>
      <w:r w:rsidRPr="006E0441">
        <w:rPr>
          <w:szCs w:val="20"/>
        </w:rPr>
        <w:t xml:space="preserve"> za</w:t>
      </w:r>
      <w:r w:rsidR="008175E9">
        <w:rPr>
          <w:szCs w:val="20"/>
        </w:rPr>
        <w:t xml:space="preserve"> materialno ogrožene</w:t>
      </w:r>
      <w:r w:rsidRPr="006E0441">
        <w:rPr>
          <w:szCs w:val="20"/>
        </w:rPr>
        <w:t xml:space="preserve"> </w:t>
      </w:r>
      <w:r w:rsidR="008175E9">
        <w:rPr>
          <w:szCs w:val="20"/>
        </w:rPr>
        <w:t>(</w:t>
      </w:r>
      <w:r w:rsidRPr="006E0441">
        <w:rPr>
          <w:szCs w:val="20"/>
        </w:rPr>
        <w:t>FEAD</w:t>
      </w:r>
      <w:r w:rsidR="008175E9">
        <w:rPr>
          <w:szCs w:val="20"/>
        </w:rPr>
        <w:t>)</w:t>
      </w:r>
      <w:r w:rsidRPr="006E0441">
        <w:rPr>
          <w:szCs w:val="20"/>
        </w:rPr>
        <w:t xml:space="preserve">. V Republiki Sloveniji je teku sprememba operativnega programa za materialno pomoč najbolj ogroženim za obdobje 2014- 2020. Predvideva se, da se </w:t>
      </w:r>
      <w:r w:rsidRPr="006E0441">
        <w:rPr>
          <w:b/>
          <w:szCs w:val="20"/>
        </w:rPr>
        <w:t xml:space="preserve">sredstva v višini 8,9 mio EUR zagotovi iz sredstev </w:t>
      </w:r>
      <w:proofErr w:type="spellStart"/>
      <w:r w:rsidRPr="006E0441">
        <w:rPr>
          <w:b/>
          <w:szCs w:val="20"/>
        </w:rPr>
        <w:t>React</w:t>
      </w:r>
      <w:proofErr w:type="spellEnd"/>
      <w:r w:rsidRPr="006E0441">
        <w:rPr>
          <w:b/>
          <w:szCs w:val="20"/>
        </w:rPr>
        <w:t xml:space="preserve">-EU. </w:t>
      </w:r>
      <w:r w:rsidRPr="006E0441">
        <w:rPr>
          <w:szCs w:val="20"/>
        </w:rPr>
        <w:t>Operativni program za materialno pomoč najbolj ogroženim za obdobje 2014- 2020 je</w:t>
      </w:r>
      <w:r w:rsidR="008175E9">
        <w:rPr>
          <w:szCs w:val="20"/>
        </w:rPr>
        <w:t xml:space="preserve"> v RS v pristojnosti Ministrstva</w:t>
      </w:r>
      <w:r w:rsidRPr="006E0441">
        <w:rPr>
          <w:szCs w:val="20"/>
        </w:rPr>
        <w:t xml:space="preserve"> za delo, družino, socialne zadeve in enake možnosti.</w:t>
      </w:r>
    </w:p>
    <w:p w:rsidR="0048653E" w:rsidRPr="006E0441" w:rsidRDefault="00280335" w:rsidP="006D6FD1">
      <w:pPr>
        <w:autoSpaceDE w:val="0"/>
        <w:autoSpaceDN w:val="0"/>
        <w:adjustRightInd w:val="0"/>
        <w:spacing w:after="0" w:line="240" w:lineRule="auto"/>
        <w:jc w:val="both"/>
        <w:rPr>
          <w:szCs w:val="20"/>
        </w:rPr>
      </w:pPr>
      <w:r w:rsidRPr="006E0441">
        <w:rPr>
          <w:szCs w:val="20"/>
        </w:rPr>
        <w:t xml:space="preserve">Namen teh sredstev je dobava in razdeljevanje hrane in/ali osnovne materialne pomoči najbolj ogroženim osebam, vključno z izvajanjem spremljevalnih ukrepov, ki so namenjeni izboljšanju socialne vključenosti ogroženih oseb. </w:t>
      </w:r>
      <w:r w:rsidRPr="006E0441">
        <w:rPr>
          <w:b/>
          <w:szCs w:val="20"/>
        </w:rPr>
        <w:t>Predvideva se dobava dodatnih 9.000 ton hrane v obdobju 2021-2023, ki bo razdeljena predvidoma 160.000 prejemnikom letno.</w:t>
      </w:r>
    </w:p>
    <w:p w:rsidR="00A05B66" w:rsidRPr="006E0441" w:rsidRDefault="00A05B66" w:rsidP="006D6FD1">
      <w:pPr>
        <w:autoSpaceDE w:val="0"/>
        <w:autoSpaceDN w:val="0"/>
        <w:adjustRightInd w:val="0"/>
        <w:spacing w:after="0" w:line="240" w:lineRule="auto"/>
        <w:jc w:val="both"/>
        <w:rPr>
          <w:szCs w:val="20"/>
        </w:rPr>
      </w:pPr>
    </w:p>
    <w:p w:rsidR="00A05B66" w:rsidRPr="006E0441" w:rsidRDefault="00A05B66" w:rsidP="00A05B66">
      <w:pPr>
        <w:jc w:val="both"/>
        <w:rPr>
          <w:szCs w:val="20"/>
        </w:rPr>
      </w:pPr>
      <w:r w:rsidRPr="006E0441">
        <w:rPr>
          <w:szCs w:val="20"/>
        </w:rPr>
        <w:t xml:space="preserve">Na podlagi </w:t>
      </w:r>
      <w:r w:rsidR="008175E9">
        <w:rPr>
          <w:szCs w:val="20"/>
        </w:rPr>
        <w:t>sprejetih</w:t>
      </w:r>
      <w:r w:rsidRPr="006E0441">
        <w:rPr>
          <w:szCs w:val="20"/>
        </w:rPr>
        <w:t xml:space="preserve"> meril</w:t>
      </w:r>
      <w:r w:rsidR="008175E9">
        <w:rPr>
          <w:szCs w:val="20"/>
        </w:rPr>
        <w:t xml:space="preserve"> bodo v okviru prej navedenih vsebinskih področij ukrepanja</w:t>
      </w:r>
      <w:r w:rsidR="00563A74">
        <w:rPr>
          <w:szCs w:val="20"/>
        </w:rPr>
        <w:t xml:space="preserve"> izbrani ukrepi v predvideni skupni višini</w:t>
      </w:r>
      <w:r w:rsidRPr="006E0441">
        <w:rPr>
          <w:szCs w:val="20"/>
        </w:rPr>
        <w:t xml:space="preserve"> </w:t>
      </w:r>
      <w:r w:rsidR="00563A74">
        <w:rPr>
          <w:szCs w:val="20"/>
        </w:rPr>
        <w:t xml:space="preserve">386 </w:t>
      </w:r>
      <w:r w:rsidRPr="006E0441">
        <w:rPr>
          <w:szCs w:val="20"/>
        </w:rPr>
        <w:t xml:space="preserve">mio EUR. </w:t>
      </w:r>
    </w:p>
    <w:p w:rsidR="00A05B66" w:rsidRPr="006E0441" w:rsidRDefault="00A05B66" w:rsidP="006D6FD1">
      <w:pPr>
        <w:autoSpaceDE w:val="0"/>
        <w:autoSpaceDN w:val="0"/>
        <w:adjustRightInd w:val="0"/>
        <w:spacing w:after="0" w:line="240" w:lineRule="auto"/>
        <w:jc w:val="both"/>
        <w:rPr>
          <w:szCs w:val="20"/>
        </w:rPr>
        <w:sectPr w:rsidR="00A05B66" w:rsidRPr="006E0441" w:rsidSect="00290FFE">
          <w:pgSz w:w="11906" w:h="16838"/>
          <w:pgMar w:top="1417" w:right="1417" w:bottom="1417" w:left="1417" w:header="708" w:footer="708" w:gutter="0"/>
          <w:cols w:space="708"/>
          <w:docGrid w:linePitch="360"/>
        </w:sectPr>
      </w:pPr>
    </w:p>
    <w:p w:rsidR="00A27CAE" w:rsidRPr="006E0441" w:rsidRDefault="00887B9D" w:rsidP="00F469A4">
      <w:pPr>
        <w:pStyle w:val="Naslov1"/>
        <w:numPr>
          <w:ilvl w:val="0"/>
          <w:numId w:val="16"/>
        </w:numPr>
        <w:ind w:hanging="720"/>
        <w:rPr>
          <w:caps w:val="0"/>
        </w:rPr>
      </w:pPr>
      <w:bookmarkStart w:id="8" w:name="_Toc50273550"/>
      <w:r w:rsidRPr="006E0441">
        <w:rPr>
          <w:caps w:val="0"/>
        </w:rPr>
        <w:lastRenderedPageBreak/>
        <w:t>S</w:t>
      </w:r>
      <w:r w:rsidR="00521F7B" w:rsidRPr="006E0441">
        <w:rPr>
          <w:caps w:val="0"/>
        </w:rPr>
        <w:t>prememba</w:t>
      </w:r>
      <w:r w:rsidRPr="006E0441">
        <w:rPr>
          <w:caps w:val="0"/>
        </w:rPr>
        <w:t xml:space="preserve"> OP 14-20</w:t>
      </w:r>
      <w:bookmarkEnd w:id="8"/>
    </w:p>
    <w:p w:rsidR="00A932A4" w:rsidRPr="006E0441" w:rsidRDefault="00A932A4" w:rsidP="00A932A4">
      <w:pPr>
        <w:spacing w:after="0" w:line="260" w:lineRule="atLeast"/>
        <w:contextualSpacing/>
        <w:jc w:val="both"/>
        <w:rPr>
          <w:b/>
          <w:szCs w:val="20"/>
        </w:rPr>
      </w:pPr>
    </w:p>
    <w:p w:rsidR="00A932A4" w:rsidRPr="006E0441" w:rsidRDefault="00A932A4" w:rsidP="00A932A4">
      <w:pPr>
        <w:spacing w:after="0" w:line="260" w:lineRule="atLeast"/>
        <w:contextualSpacing/>
        <w:jc w:val="both"/>
        <w:rPr>
          <w:b/>
          <w:szCs w:val="20"/>
        </w:rPr>
      </w:pPr>
    </w:p>
    <w:p w:rsidR="006C504E" w:rsidRPr="006E0441" w:rsidRDefault="002F6D4F" w:rsidP="006C504E">
      <w:pPr>
        <w:jc w:val="both"/>
        <w:rPr>
          <w:szCs w:val="20"/>
        </w:rPr>
      </w:pPr>
      <w:r w:rsidRPr="006E0441">
        <w:rPr>
          <w:szCs w:val="20"/>
        </w:rPr>
        <w:t xml:space="preserve">V sklopu drugega dela, ki se nanaša na </w:t>
      </w:r>
      <w:r w:rsidR="006C504E" w:rsidRPr="006E0441">
        <w:rPr>
          <w:szCs w:val="20"/>
        </w:rPr>
        <w:t>spremembe</w:t>
      </w:r>
      <w:r w:rsidRPr="006E0441">
        <w:rPr>
          <w:szCs w:val="20"/>
        </w:rPr>
        <w:t xml:space="preserve"> znotraj potrjenega</w:t>
      </w:r>
      <w:r w:rsidR="006C504E" w:rsidRPr="006E0441">
        <w:rPr>
          <w:szCs w:val="20"/>
        </w:rPr>
        <w:t xml:space="preserve"> OP </w:t>
      </w:r>
      <w:r w:rsidRPr="006E0441">
        <w:rPr>
          <w:szCs w:val="20"/>
        </w:rPr>
        <w:t>predstavljamo</w:t>
      </w:r>
      <w:r w:rsidR="006C504E" w:rsidRPr="006E0441">
        <w:rPr>
          <w:szCs w:val="20"/>
        </w:rPr>
        <w:t xml:space="preserve"> predloge za prerazporeditev sredst</w:t>
      </w:r>
      <w:r w:rsidR="00036E90" w:rsidRPr="006E0441">
        <w:rPr>
          <w:szCs w:val="20"/>
        </w:rPr>
        <w:t>ev in ostalih potrebnih sprememb, ki so potrebne zaradi sprememb okoliščin</w:t>
      </w:r>
      <w:r w:rsidR="00E856D8" w:rsidRPr="006E0441">
        <w:rPr>
          <w:szCs w:val="20"/>
        </w:rPr>
        <w:t>, zaradi zaznanih tveganj in zaradi zagotovit</w:t>
      </w:r>
      <w:r w:rsidR="00036E90" w:rsidRPr="006E0441">
        <w:rPr>
          <w:szCs w:val="20"/>
        </w:rPr>
        <w:t>v</w:t>
      </w:r>
      <w:r w:rsidR="00E856D8" w:rsidRPr="006E0441">
        <w:rPr>
          <w:szCs w:val="20"/>
        </w:rPr>
        <w:t>e doseganja rezultatov do konca 2023, kot so predvideni v OP 14-20 ter posledično</w:t>
      </w:r>
      <w:r w:rsidR="00036E90" w:rsidRPr="006E0441">
        <w:rPr>
          <w:szCs w:val="20"/>
        </w:rPr>
        <w:t xml:space="preserve"> 100% </w:t>
      </w:r>
      <w:r w:rsidR="00E856D8" w:rsidRPr="006E0441">
        <w:rPr>
          <w:szCs w:val="20"/>
        </w:rPr>
        <w:t>porabe</w:t>
      </w:r>
      <w:r w:rsidR="00036E90" w:rsidRPr="006E0441">
        <w:rPr>
          <w:szCs w:val="20"/>
        </w:rPr>
        <w:t xml:space="preserve"> EU sredstev</w:t>
      </w:r>
      <w:r w:rsidR="006C504E" w:rsidRPr="006E0441">
        <w:rPr>
          <w:szCs w:val="20"/>
        </w:rPr>
        <w:t>.</w:t>
      </w:r>
      <w:r w:rsidR="00FC5590" w:rsidRPr="006E0441">
        <w:rPr>
          <w:szCs w:val="20"/>
        </w:rPr>
        <w:t xml:space="preserve"> </w:t>
      </w:r>
    </w:p>
    <w:p w:rsidR="006C504E" w:rsidRPr="006E0441" w:rsidRDefault="006C504E" w:rsidP="00A932A4">
      <w:pPr>
        <w:spacing w:after="0" w:line="260" w:lineRule="atLeast"/>
        <w:contextualSpacing/>
        <w:jc w:val="both"/>
        <w:rPr>
          <w:b/>
          <w:szCs w:val="20"/>
        </w:rPr>
      </w:pPr>
    </w:p>
    <w:p w:rsidR="00A932A4" w:rsidRPr="006E0441" w:rsidRDefault="00521F7B" w:rsidP="00F469A4">
      <w:pPr>
        <w:pStyle w:val="Naslov2"/>
        <w:numPr>
          <w:ilvl w:val="1"/>
          <w:numId w:val="16"/>
        </w:numPr>
        <w:ind w:hanging="795"/>
        <w:rPr>
          <w:caps w:val="0"/>
        </w:rPr>
      </w:pPr>
      <w:bookmarkStart w:id="9" w:name="_Toc50273551"/>
      <w:r w:rsidRPr="006E0441">
        <w:rPr>
          <w:caps w:val="0"/>
        </w:rPr>
        <w:t>Omejitve pri razporejanju pravic porabe</w:t>
      </w:r>
      <w:bookmarkEnd w:id="9"/>
    </w:p>
    <w:p w:rsidR="00A932A4" w:rsidRPr="006E0441" w:rsidRDefault="00A932A4" w:rsidP="00A932A4">
      <w:pPr>
        <w:spacing w:after="0" w:line="260" w:lineRule="atLeast"/>
        <w:ind w:left="720"/>
        <w:contextualSpacing/>
        <w:jc w:val="both"/>
        <w:rPr>
          <w:szCs w:val="20"/>
        </w:rPr>
      </w:pPr>
    </w:p>
    <w:p w:rsidR="005545B2" w:rsidRPr="006E0441" w:rsidRDefault="005545B2" w:rsidP="00A932A4">
      <w:pPr>
        <w:spacing w:after="0" w:line="260" w:lineRule="atLeast"/>
        <w:ind w:left="720"/>
        <w:contextualSpacing/>
        <w:jc w:val="both"/>
        <w:rPr>
          <w:szCs w:val="20"/>
        </w:rPr>
      </w:pPr>
    </w:p>
    <w:p w:rsidR="00A932A4" w:rsidRPr="006E0441" w:rsidRDefault="00A932A4" w:rsidP="00A932A4">
      <w:pPr>
        <w:jc w:val="both"/>
        <w:rPr>
          <w:szCs w:val="20"/>
        </w:rPr>
      </w:pPr>
      <w:r w:rsidRPr="006E0441">
        <w:rPr>
          <w:szCs w:val="20"/>
        </w:rPr>
        <w:t>V okviru razporejanja pravic porabe znotraj OP je treba upoštevati pravila, ki jih je postavila EK v splošni uredbi glede pravic porabe evropske kohezijske politike in ki jih na kratko lahko strnemo v naslednje:</w:t>
      </w:r>
    </w:p>
    <w:p w:rsidR="00A932A4" w:rsidRPr="006E0441" w:rsidRDefault="00A932A4" w:rsidP="00E22539">
      <w:pPr>
        <w:numPr>
          <w:ilvl w:val="0"/>
          <w:numId w:val="7"/>
        </w:numPr>
        <w:spacing w:after="200" w:line="276" w:lineRule="auto"/>
        <w:jc w:val="both"/>
        <w:rPr>
          <w:szCs w:val="20"/>
        </w:rPr>
      </w:pPr>
      <w:r w:rsidRPr="006E0441">
        <w:rPr>
          <w:szCs w:val="20"/>
        </w:rPr>
        <w:t>za področje podnebnih sprememb se nameni najmanj 20% pravic porabe, z upoštevanjem prispevka, kot je za posamezno kodo intervencij predpisan s strani EU;</w:t>
      </w:r>
    </w:p>
    <w:p w:rsidR="00A932A4" w:rsidRPr="006E0441" w:rsidRDefault="00A932A4" w:rsidP="00E22539">
      <w:pPr>
        <w:numPr>
          <w:ilvl w:val="0"/>
          <w:numId w:val="7"/>
        </w:numPr>
        <w:spacing w:after="200" w:line="276" w:lineRule="auto"/>
        <w:jc w:val="both"/>
        <w:rPr>
          <w:szCs w:val="20"/>
        </w:rPr>
      </w:pPr>
      <w:r w:rsidRPr="006E0441">
        <w:rPr>
          <w:szCs w:val="20"/>
        </w:rPr>
        <w:t>tematska osredotočenost zahteva, da se v bolj razviti regiji (Zahodna Slovenija) najmanj 80% vseh pravic porabe ESRR, v manj razviti regiji (Vzhodna Slovenija) pa najmanj 50% vseh pravic porabe ESRR nameni dvema ali več prednostnim osem v okviru prednostnih osi 1 – mednarodna konkurenčnost raziskav, 2 – povečanje dostopnosti do IKT, 3 – dinamično in konkurenčno podjetništvo in 4 – trajnostna raba in proizvodnja energije ter pametna omrežja;</w:t>
      </w:r>
    </w:p>
    <w:p w:rsidR="00A932A4" w:rsidRPr="006E0441" w:rsidRDefault="00A932A4" w:rsidP="00E22539">
      <w:pPr>
        <w:numPr>
          <w:ilvl w:val="0"/>
          <w:numId w:val="7"/>
        </w:numPr>
        <w:spacing w:after="200" w:line="276" w:lineRule="auto"/>
        <w:jc w:val="both"/>
        <w:rPr>
          <w:szCs w:val="20"/>
        </w:rPr>
      </w:pPr>
      <w:r w:rsidRPr="006E0441">
        <w:rPr>
          <w:szCs w:val="20"/>
        </w:rPr>
        <w:t>prerazporejanje pravic porabe Evropskega sklada za regionalni razvoj (ESRR) in Evropskega socialnega sklada (ESS) med kohezijskima regijama ni mogoče;</w:t>
      </w:r>
    </w:p>
    <w:p w:rsidR="00A932A4" w:rsidRPr="006E0441" w:rsidRDefault="00A932A4" w:rsidP="00E22539">
      <w:pPr>
        <w:numPr>
          <w:ilvl w:val="0"/>
          <w:numId w:val="7"/>
        </w:numPr>
        <w:spacing w:after="200" w:line="276" w:lineRule="auto"/>
        <w:jc w:val="both"/>
        <w:rPr>
          <w:szCs w:val="20"/>
        </w:rPr>
      </w:pPr>
      <w:r w:rsidRPr="006E0441">
        <w:rPr>
          <w:szCs w:val="20"/>
        </w:rPr>
        <w:t xml:space="preserve">indikativni delež pravic porabe med ESRR in Kohezijskim skladom (KS) na eni strani in ESS na drugi strani, naj bi bil v razmerju 2/3:1/3, indikativni delež med ESRR in ESS pa ½:½. </w:t>
      </w:r>
    </w:p>
    <w:p w:rsidR="005545B2" w:rsidRPr="006E0441" w:rsidRDefault="005545B2">
      <w:pPr>
        <w:rPr>
          <w:b/>
        </w:rPr>
      </w:pPr>
    </w:p>
    <w:p w:rsidR="00B9217E" w:rsidRPr="006E0441" w:rsidRDefault="001362DE" w:rsidP="002C5F48">
      <w:pPr>
        <w:pStyle w:val="Naslov2"/>
        <w:numPr>
          <w:ilvl w:val="1"/>
          <w:numId w:val="16"/>
        </w:numPr>
        <w:ind w:hanging="795"/>
        <w:rPr>
          <w:caps w:val="0"/>
        </w:rPr>
      </w:pPr>
      <w:bookmarkStart w:id="10" w:name="_Toc50273552"/>
      <w:r w:rsidRPr="006E0441">
        <w:rPr>
          <w:caps w:val="0"/>
        </w:rPr>
        <w:t xml:space="preserve">Predlagane spremembe </w:t>
      </w:r>
      <w:r w:rsidR="002C5F48" w:rsidRPr="006E0441">
        <w:rPr>
          <w:caps w:val="0"/>
        </w:rPr>
        <w:t>OP</w:t>
      </w:r>
      <w:bookmarkEnd w:id="10"/>
    </w:p>
    <w:p w:rsidR="00D9630A" w:rsidRPr="006E0441" w:rsidRDefault="00D9630A" w:rsidP="00D9630A"/>
    <w:p w:rsidR="005545B2" w:rsidRPr="006E0441" w:rsidRDefault="00F73B38" w:rsidP="00D9630A">
      <w:pPr>
        <w:jc w:val="both"/>
      </w:pPr>
      <w:r w:rsidRPr="006E0441">
        <w:t>Pri predlaganih spremembah pravic porabe je organ upr</w:t>
      </w:r>
      <w:r w:rsidR="00E856D8" w:rsidRPr="006E0441">
        <w:t>avljanja zasledoval cilj, da se</w:t>
      </w:r>
      <w:r w:rsidRPr="006E0441">
        <w:t xml:space="preserve"> ob zaključku programskega obdobja 2014-2020</w:t>
      </w:r>
      <w:r w:rsidR="00E856D8" w:rsidRPr="006E0441">
        <w:t xml:space="preserve"> v čim večji možni meri dosežejo načrtovani rezultati OP 14-20. Kjer na podlagi ocene tveganj OU to ni povsem zanesljivo, v spremembi OP 14-20 predlagamo določene prerazporeditve sredstev med posameznimi osmi OP 14-20, kar bo omogočalo optimalnejšo porabo vseh razpoložljivih sredstev</w:t>
      </w:r>
      <w:r w:rsidRPr="006E0441">
        <w:t xml:space="preserve">. </w:t>
      </w:r>
      <w:r w:rsidR="003C0E99" w:rsidRPr="006E0441">
        <w:t xml:space="preserve">Pri tem organ upravljanja </w:t>
      </w:r>
      <w:r w:rsidR="00E856D8" w:rsidRPr="006E0441">
        <w:t>računa na</w:t>
      </w:r>
      <w:r w:rsidR="003C0E99" w:rsidRPr="006E0441">
        <w:t xml:space="preserve"> razumevanje Evropske komisije, saj se posledično s prerazporeditvijo sredstev iz prednostnih osi, kjer je črpanje slabše</w:t>
      </w:r>
      <w:r w:rsidR="002D0612" w:rsidRPr="006E0441">
        <w:t>,</w:t>
      </w:r>
      <w:r w:rsidR="003C0E99" w:rsidRPr="006E0441">
        <w:t xml:space="preserve"> znižujejo tudi kazalniki okvira uspešnosti. </w:t>
      </w:r>
      <w:r w:rsidR="00E856D8" w:rsidRPr="006E0441">
        <w:t>Ob tem je potrebno</w:t>
      </w:r>
      <w:r w:rsidR="003C0E99" w:rsidRPr="006E0441">
        <w:t xml:space="preserve"> </w:t>
      </w:r>
      <w:r w:rsidR="00E856D8" w:rsidRPr="006E0441">
        <w:t>upoštevati spremenjene</w:t>
      </w:r>
      <w:r w:rsidR="003C0E99" w:rsidRPr="006E0441">
        <w:t xml:space="preserve"> okoliščin</w:t>
      </w:r>
      <w:r w:rsidR="00E856D8" w:rsidRPr="006E0441">
        <w:t>e</w:t>
      </w:r>
      <w:r w:rsidR="003C0E99" w:rsidRPr="006E0441">
        <w:t>, ki so posledica epidemije COVID-19</w:t>
      </w:r>
      <w:r w:rsidR="00E856D8" w:rsidRPr="006E0441">
        <w:t>, ki bistveno spreminjajo pogoje</w:t>
      </w:r>
      <w:r w:rsidR="002D0612" w:rsidRPr="006E0441">
        <w:t xml:space="preserve"> izvajanja</w:t>
      </w:r>
      <w:r w:rsidR="002104F1" w:rsidRPr="006E0441">
        <w:t>, zaradi česar je smiselna prilagoditev kohezijskih sredstev, da se bodo lahko namenila</w:t>
      </w:r>
      <w:r w:rsidR="002D0612" w:rsidRPr="006E0441">
        <w:t xml:space="preserve"> za</w:t>
      </w:r>
      <w:r w:rsidR="002104F1" w:rsidRPr="006E0441">
        <w:t xml:space="preserve"> okrevanje, ki bo generiralo dolgoročno</w:t>
      </w:r>
      <w:r w:rsidR="002D0612" w:rsidRPr="006E0441">
        <w:t xml:space="preserve"> rast in razvoj. </w:t>
      </w:r>
    </w:p>
    <w:p w:rsidR="00F73B38" w:rsidRPr="006E0441" w:rsidRDefault="002D0612" w:rsidP="00725B62">
      <w:pPr>
        <w:jc w:val="both"/>
      </w:pPr>
      <w:r w:rsidRPr="006E0441">
        <w:lastRenderedPageBreak/>
        <w:t xml:space="preserve">Pri tem predstavljamo samo prednostne osi, kjer </w:t>
      </w:r>
      <w:r w:rsidR="002104F1" w:rsidRPr="006E0441">
        <w:t>so predlagane ključne</w:t>
      </w:r>
      <w:r w:rsidRPr="006E0441">
        <w:t xml:space="preserve"> spremembe</w:t>
      </w:r>
      <w:r w:rsidR="002104F1" w:rsidRPr="006E0441">
        <w:t xml:space="preserve"> s finančnim učinkom (na tehnični ravni bodo sledile še dodatne tehnične spremembe, ki se bodo usklajevale med SVRK in Evropsko komisijo)</w:t>
      </w:r>
      <w:r w:rsidRPr="006E0441">
        <w:t>.</w:t>
      </w:r>
    </w:p>
    <w:p w:rsidR="00F73B38" w:rsidRPr="006E0441" w:rsidRDefault="00F73B38" w:rsidP="005545B2">
      <w:pPr>
        <w:pStyle w:val="Prednostnaos"/>
      </w:pPr>
    </w:p>
    <w:p w:rsidR="00267964" w:rsidRPr="006E0441" w:rsidRDefault="00267964" w:rsidP="00267964">
      <w:pPr>
        <w:pStyle w:val="Naslov4"/>
        <w:rPr>
          <w:b/>
        </w:rPr>
      </w:pPr>
      <w:r w:rsidRPr="006E0441">
        <w:rPr>
          <w:b/>
        </w:rPr>
        <w:t>Prednostna os 2</w:t>
      </w:r>
    </w:p>
    <w:p w:rsidR="00233521" w:rsidRPr="006E0441" w:rsidRDefault="00233521" w:rsidP="00267964"/>
    <w:p w:rsidR="00267964" w:rsidRPr="006E0441" w:rsidRDefault="00233521" w:rsidP="00F96696">
      <w:pPr>
        <w:jc w:val="both"/>
      </w:pPr>
      <w:r w:rsidRPr="006E0441">
        <w:t xml:space="preserve">2.1 Širitev širokopasovnih storitev in uvajanje </w:t>
      </w:r>
      <w:proofErr w:type="spellStart"/>
      <w:r w:rsidRPr="006E0441">
        <w:t>visokohitrostnih</w:t>
      </w:r>
      <w:proofErr w:type="spellEnd"/>
      <w:r w:rsidRPr="006E0441">
        <w:t xml:space="preserve"> omrežij ter podpora uporabi nastajajočih tehnologij in omrežij za digitalno ekonomijo</w:t>
      </w:r>
    </w:p>
    <w:p w:rsidR="00FC5590" w:rsidRPr="006E0441" w:rsidRDefault="00233521" w:rsidP="00272868">
      <w:pPr>
        <w:jc w:val="both"/>
      </w:pPr>
      <w:r w:rsidRPr="006E0441">
        <w:t xml:space="preserve">Na področju PN 2.1 je glede na dolgotrajnost izvajanja javnih razpisov in ponavljanj le teh, </w:t>
      </w:r>
      <w:r w:rsidR="00EA55FA" w:rsidRPr="006E0441">
        <w:t xml:space="preserve">obstaja tveganje za 100 % </w:t>
      </w:r>
      <w:r w:rsidR="00725B62">
        <w:t>porabo sredstev</w:t>
      </w:r>
      <w:r w:rsidR="00EA55FA" w:rsidRPr="006E0441">
        <w:t xml:space="preserve">. </w:t>
      </w:r>
      <w:r w:rsidRPr="006E0441">
        <w:t xml:space="preserve">Predlaga se, da se prerazporedi </w:t>
      </w:r>
      <w:r w:rsidR="002104F1" w:rsidRPr="006E0441">
        <w:t>10 mio EUR</w:t>
      </w:r>
      <w:r w:rsidR="00272868" w:rsidRPr="006E0441">
        <w:t xml:space="preserve"> pravic porabe in sicer v predlagani višini </w:t>
      </w:r>
      <w:r w:rsidR="009836AF" w:rsidRPr="006E0441">
        <w:t>6,4 mio EUR</w:t>
      </w:r>
      <w:r w:rsidR="00FD4F4D" w:rsidRPr="006E0441">
        <w:t xml:space="preserve"> na ESRR vzhod in </w:t>
      </w:r>
      <w:r w:rsidR="009836AF" w:rsidRPr="006E0441">
        <w:t>4,6 mio EUR</w:t>
      </w:r>
      <w:r w:rsidR="00FD4F4D" w:rsidRPr="006E0441">
        <w:t xml:space="preserve"> na ESRR zahod.</w:t>
      </w:r>
      <w:r w:rsidR="00725B62">
        <w:t xml:space="preserve"> </w:t>
      </w:r>
    </w:p>
    <w:p w:rsidR="00FD4F4D" w:rsidRPr="006E0441" w:rsidRDefault="00FD4F4D" w:rsidP="00272868">
      <w:pPr>
        <w:jc w:val="both"/>
      </w:pPr>
      <w:r w:rsidRPr="006E0441">
        <w:t>Predlaga se prerazporeditev na</w:t>
      </w:r>
      <w:r w:rsidR="00233521" w:rsidRPr="006E0441">
        <w:t xml:space="preserve"> </w:t>
      </w:r>
      <w:r w:rsidR="00267964" w:rsidRPr="006E0441">
        <w:t>PN 4.4. - kolesarske povezave</w:t>
      </w:r>
      <w:r w:rsidR="00233521" w:rsidRPr="006E0441">
        <w:t>.</w:t>
      </w:r>
      <w:r w:rsidRPr="006E0441">
        <w:t xml:space="preserve"> S tem se ohranja potrebna tematska osredotočenost znotraj prvih 4 prednostnih osi. Hkrati pa je na tej prednostni naložbi tudi največ predvidenih projektov, ki bodo tudi z znanimi</w:t>
      </w:r>
      <w:r w:rsidR="002104F1" w:rsidRPr="006E0441">
        <w:t xml:space="preserve"> in že vračunanimi</w:t>
      </w:r>
      <w:r w:rsidRPr="006E0441">
        <w:t xml:space="preserve"> tveganji izpeljani preko pravic porabe</w:t>
      </w:r>
      <w:r w:rsidR="002104F1" w:rsidRPr="006E0441">
        <w:t>, kar pomeni, da bodo še vedno v sorazmerno velikem deležu financirani iz integralnega proračuna RS</w:t>
      </w:r>
      <w:r w:rsidRPr="006E0441">
        <w:t>.</w:t>
      </w:r>
    </w:p>
    <w:p w:rsidR="00D63E36" w:rsidRPr="006E0441" w:rsidRDefault="00D63E36" w:rsidP="00272868">
      <w:pPr>
        <w:jc w:val="both"/>
      </w:pPr>
      <w:r w:rsidRPr="006E0441">
        <w:t>Hkrati se na PN 4.4 zaradi večje jasnosti in glede na potrebe na tem področju razširi besedilo, ki bo zajemalo gradnjo in načrtovanje regionalnih kolesarskih povezav za zagotavljanje trajnostne mobilnosti; povezovanje mestnih območij z njihovim zaledjem. Kar vključuje načrtovanje celovitih povezav, katerih izgradnja se bo izvajala sukcesivno, posamezni deli tudi brez podpore kohezijskih sredstev ali v prihodnji finančni perspektivi.</w:t>
      </w:r>
    </w:p>
    <w:p w:rsidR="00BA47DB" w:rsidRPr="006E0441" w:rsidRDefault="00BA47DB" w:rsidP="00272868">
      <w:pPr>
        <w:jc w:val="both"/>
      </w:pPr>
      <w:r w:rsidRPr="006E0441">
        <w:t xml:space="preserve">Ob tem je potrebno dodati, da bomo na prednostni osi nadaljevali z Načrtom razvoja širokopasovnih omrežij naslednje generacije do leta 2020 in s tem pokritjem belih lis na področju širokopasovnih povezav. </w:t>
      </w:r>
    </w:p>
    <w:p w:rsidR="00FC5590" w:rsidRPr="006E0441" w:rsidRDefault="00FC5590" w:rsidP="0000779E">
      <w:pPr>
        <w:pStyle w:val="Naslov4"/>
        <w:rPr>
          <w:b/>
        </w:rPr>
      </w:pPr>
    </w:p>
    <w:p w:rsidR="00A932A4" w:rsidRPr="006E0441" w:rsidRDefault="0000779E" w:rsidP="0000779E">
      <w:pPr>
        <w:pStyle w:val="Naslov4"/>
        <w:rPr>
          <w:b/>
        </w:rPr>
      </w:pPr>
      <w:r w:rsidRPr="006E0441">
        <w:rPr>
          <w:b/>
        </w:rPr>
        <w:t xml:space="preserve">prednostna os </w:t>
      </w:r>
      <w:r w:rsidR="005662B1" w:rsidRPr="006E0441">
        <w:rPr>
          <w:b/>
        </w:rPr>
        <w:t>4</w:t>
      </w:r>
    </w:p>
    <w:p w:rsidR="005943DA" w:rsidRPr="006E0441" w:rsidRDefault="005943DA" w:rsidP="000752E7"/>
    <w:p w:rsidR="00655E72" w:rsidRPr="006E0441" w:rsidRDefault="00CC3647" w:rsidP="00F96696">
      <w:pPr>
        <w:jc w:val="both"/>
        <w:rPr>
          <w:rFonts w:cs="Arial"/>
          <w:b/>
          <w:szCs w:val="20"/>
        </w:rPr>
      </w:pPr>
      <w:r w:rsidRPr="006E0441">
        <w:t xml:space="preserve">Vzpostavitev nove prednostne </w:t>
      </w:r>
      <w:r w:rsidR="00A932A4" w:rsidRPr="006E0441">
        <w:t xml:space="preserve">prednostna naložba </w:t>
      </w:r>
      <w:r w:rsidRPr="006E0441">
        <w:rPr>
          <w:rFonts w:cs="Arial"/>
          <w:b/>
          <w:szCs w:val="20"/>
        </w:rPr>
        <w:t xml:space="preserve">4.5 - </w:t>
      </w:r>
      <w:r w:rsidR="00655E72" w:rsidRPr="006E0441">
        <w:rPr>
          <w:rFonts w:cs="Arial"/>
          <w:b/>
          <w:szCs w:val="20"/>
        </w:rPr>
        <w:t>Spodbujanje energetske učinkovitosti, pametnega upravljanja z energijo in uporabe obnovljivih virov energije v stavbah zdravstvene infrastrukture posebnega pomena (COVID-19)</w:t>
      </w:r>
      <w:r w:rsidR="00655E72" w:rsidRPr="006E0441" w:rsidDel="00655E72">
        <w:rPr>
          <w:rFonts w:cs="Arial"/>
          <w:b/>
          <w:szCs w:val="20"/>
        </w:rPr>
        <w:t xml:space="preserve"> </w:t>
      </w:r>
    </w:p>
    <w:p w:rsidR="00A932A4" w:rsidRPr="006E0441" w:rsidRDefault="00A932A4" w:rsidP="00A932A4">
      <w:r w:rsidRPr="006E0441">
        <w:t>Predlog spremembe:</w:t>
      </w:r>
    </w:p>
    <w:p w:rsidR="00A932A4" w:rsidRPr="006E0441" w:rsidRDefault="001B0BCD" w:rsidP="00A932A4">
      <w:pPr>
        <w:jc w:val="both"/>
        <w:rPr>
          <w:rFonts w:cs="Arial"/>
          <w:szCs w:val="20"/>
        </w:rPr>
      </w:pPr>
      <w:r w:rsidRPr="006E0441">
        <w:t xml:space="preserve">Predlaga se </w:t>
      </w:r>
      <w:r w:rsidR="006C504E" w:rsidRPr="006E0441">
        <w:t>novo prednostna naložbo</w:t>
      </w:r>
      <w:r w:rsidRPr="006E0441">
        <w:t xml:space="preserve"> </w:t>
      </w:r>
      <w:r w:rsidRPr="006E0441">
        <w:rPr>
          <w:b/>
        </w:rPr>
        <w:t>4.5</w:t>
      </w:r>
      <w:r w:rsidR="006C504E" w:rsidRPr="006E0441">
        <w:rPr>
          <w:b/>
        </w:rPr>
        <w:t xml:space="preserve"> - </w:t>
      </w:r>
      <w:r w:rsidR="00655E72" w:rsidRPr="006E0441">
        <w:rPr>
          <w:rFonts w:cs="Arial"/>
          <w:b/>
          <w:szCs w:val="20"/>
        </w:rPr>
        <w:t xml:space="preserve">Spodbujanje energetske učinkovitosti, pametnega upravljanja z energijo in uporabe obnovljivih virov energije v stavbah zdravstvene infrastrukture posebnega pomena (COVID-19) </w:t>
      </w:r>
      <w:r w:rsidRPr="006E0441">
        <w:t>in sicer z namenom implementacije</w:t>
      </w:r>
      <w:r w:rsidR="00A932A4" w:rsidRPr="006E0441">
        <w:t xml:space="preserve"> posebnega ukrepa za izvajanje</w:t>
      </w:r>
      <w:r w:rsidR="00004E94" w:rsidRPr="006E0441">
        <w:t xml:space="preserve"> </w:t>
      </w:r>
      <w:r w:rsidR="00A932A4" w:rsidRPr="006E0441">
        <w:t xml:space="preserve">celovite energetske prenove bolnišničnih stavb pod posebnimi pogoji, ki poleg doseganja kazalnikov te prednostne naložbe dodatno sledi še s cilju izboljšanja zdravstvene infrastrukture, ki je v </w:t>
      </w:r>
      <w:r w:rsidR="00A932A4" w:rsidRPr="006E0441">
        <w:rPr>
          <w:rFonts w:cs="Arial"/>
          <w:szCs w:val="20"/>
        </w:rPr>
        <w:t xml:space="preserve">času po epidemiji COVID-19 ključnega pomena in osnova za vzdrževanje stabilnega zdravstvenega sistema. Pri bolnišnicah gre za stavbe izjemnega družbenega pomena, ki v nastali izredni situaciji zaradi vse večjih obremenitev ter zasedenosti predstavljajo tudi z vidika učinkovite rabe energije velik potencial. in ogromen prispevek h kazalnikom te prednostne naložbe. Zaradi izkazanega interesa v okviru napovedanih operacij s tovrstnimi stavbami ter problema zagotavljanja sredstev za nujna predhodna izvedbena dela, ki so pogoj za uspešno energetsko sanacijo stavb, sredstev za lastno udeležbo pri </w:t>
      </w:r>
      <w:r w:rsidR="00A932A4" w:rsidRPr="006E0441">
        <w:rPr>
          <w:rFonts w:cs="Arial"/>
          <w:szCs w:val="20"/>
        </w:rPr>
        <w:lastRenderedPageBreak/>
        <w:t>izvedbi energetske prenove v kolikor le ta ni v celoti sofinancirana ter zaradi nujnosti čimprejšnje izvedbe prenove bolnišničnih stavb, da se zagotovi ustrezna infrastruktura na zdravstvenem področju, se kot poseben ukrep izvaja energetska prenova zdravstvene infrastrukture. Le- ta se izvaja kot</w:t>
      </w:r>
      <w:r w:rsidR="00004E94" w:rsidRPr="006E0441">
        <w:rPr>
          <w:rFonts w:cs="Arial"/>
          <w:szCs w:val="20"/>
        </w:rPr>
        <w:t xml:space="preserve"> </w:t>
      </w:r>
      <w:r w:rsidR="00A932A4" w:rsidRPr="006E0441">
        <w:rPr>
          <w:rFonts w:cs="Arial"/>
          <w:szCs w:val="20"/>
        </w:rPr>
        <w:t xml:space="preserve">izjema od vzpostavljenega postopka potrjevanja operacij (neposredna potrditev operacij brez predhodnega povabila) ter vsebinske upravičenosti stroškov in stopnje sofinanciranja (zadnji dve izjemi bosta vključeni v interne dokumente MZI: </w:t>
      </w:r>
      <w:hyperlink r:id="rId13" w:tgtFrame="_blank" w:tooltip="Opens internal link in current window" w:history="1">
        <w:r w:rsidR="00A932A4" w:rsidRPr="006E0441">
          <w:rPr>
            <w:rFonts w:cs="Arial"/>
            <w:szCs w:val="20"/>
          </w:rPr>
          <w:t>Navodila in tehnične usmeritve za energetsko prenovo javnih stavb</w:t>
        </w:r>
      </w:hyperlink>
      <w:r w:rsidR="00A932A4" w:rsidRPr="006E0441">
        <w:rPr>
          <w:rFonts w:cs="Arial"/>
          <w:szCs w:val="20"/>
        </w:rPr>
        <w:t>, Navodila za delo posredniških organov in upravičencev pri ukrepu energetske prenove stavb javnega sektorja,</w:t>
      </w:r>
      <w:hyperlink r:id="rId14" w:tgtFrame="_blank" w:tooltip="Opens internal link in current window" w:history="1">
        <w:r w:rsidR="00004E94" w:rsidRPr="006E0441">
          <w:rPr>
            <w:rFonts w:cs="Arial"/>
            <w:szCs w:val="20"/>
          </w:rPr>
          <w:t xml:space="preserve"> </w:t>
        </w:r>
        <w:r w:rsidR="00A932A4" w:rsidRPr="006E0441">
          <w:rPr>
            <w:rFonts w:cs="Arial"/>
            <w:szCs w:val="20"/>
          </w:rPr>
          <w:t>Podrobnejše usmeritve javnim partnerjem pri ukrepu energetske prenove stavb javnega sektorja</w:t>
        </w:r>
      </w:hyperlink>
      <w:r w:rsidR="00A932A4" w:rsidRPr="006E0441">
        <w:rPr>
          <w:rFonts w:cs="Arial"/>
          <w:szCs w:val="20"/>
        </w:rPr>
        <w:t xml:space="preserve">, </w:t>
      </w:r>
      <w:hyperlink r:id="rId15" w:tgtFrame="_blank" w:tooltip="Opens internal link in current window" w:history="1">
        <w:r w:rsidR="00A932A4" w:rsidRPr="006E0441">
          <w:rPr>
            <w:rFonts w:cs="Arial"/>
            <w:szCs w:val="20"/>
          </w:rPr>
          <w:t>Priročnik upravičenih stroškov pri ukrepu energetske prenove stavb javnega sektorja</w:t>
        </w:r>
      </w:hyperlink>
      <w:r w:rsidR="00A932A4" w:rsidRPr="006E0441">
        <w:rPr>
          <w:rFonts w:cs="Arial"/>
          <w:szCs w:val="20"/>
        </w:rPr>
        <w:t>,</w:t>
      </w:r>
      <w:hyperlink r:id="rId16" w:tgtFrame="_blank" w:tooltip="Opens internal link in current window" w:history="1">
        <w:r w:rsidR="00004E94" w:rsidRPr="006E0441">
          <w:rPr>
            <w:rFonts w:cs="Arial"/>
            <w:szCs w:val="20"/>
          </w:rPr>
          <w:t xml:space="preserve"> </w:t>
        </w:r>
        <w:r w:rsidR="00A932A4" w:rsidRPr="006E0441">
          <w:rPr>
            <w:rFonts w:cs="Arial"/>
            <w:szCs w:val="20"/>
          </w:rPr>
          <w:t>Smernice za energetsko prenovo stavb kulturne dediščine</w:t>
        </w:r>
      </w:hyperlink>
      <w:r w:rsidR="00A932A4" w:rsidRPr="006E0441">
        <w:rPr>
          <w:rFonts w:cs="Arial"/>
          <w:szCs w:val="20"/>
        </w:rPr>
        <w:t>).</w:t>
      </w:r>
    </w:p>
    <w:p w:rsidR="00A932A4" w:rsidRPr="006E0441" w:rsidRDefault="00A932A4" w:rsidP="00F96696">
      <w:pPr>
        <w:jc w:val="both"/>
        <w:rPr>
          <w:rFonts w:cs="Arial"/>
          <w:szCs w:val="20"/>
        </w:rPr>
      </w:pPr>
      <w:r w:rsidRPr="006E0441">
        <w:rPr>
          <w:rFonts w:cs="Arial"/>
          <w:szCs w:val="20"/>
        </w:rPr>
        <w:t>V predlog spremembe OP EKP 2014-2020</w:t>
      </w:r>
      <w:r w:rsidR="00004E94" w:rsidRPr="006E0441">
        <w:rPr>
          <w:rFonts w:cs="Arial"/>
          <w:szCs w:val="20"/>
        </w:rPr>
        <w:t xml:space="preserve"> </w:t>
      </w:r>
      <w:r w:rsidRPr="006E0441">
        <w:rPr>
          <w:rFonts w:cs="Arial"/>
          <w:szCs w:val="20"/>
        </w:rPr>
        <w:t xml:space="preserve">dodajamo </w:t>
      </w:r>
      <w:r w:rsidR="00CF7208">
        <w:rPr>
          <w:rFonts w:cs="Arial"/>
          <w:szCs w:val="20"/>
        </w:rPr>
        <w:t xml:space="preserve">indikativni </w:t>
      </w:r>
      <w:r w:rsidRPr="006E0441">
        <w:rPr>
          <w:rFonts w:cs="Arial"/>
          <w:szCs w:val="20"/>
        </w:rPr>
        <w:t xml:space="preserve">nabor prioritetnih projektov zdravstvene infrastrukture za CEPS: </w:t>
      </w:r>
    </w:p>
    <w:p w:rsidR="00A932A4" w:rsidRPr="006E0441" w:rsidRDefault="00A932A4" w:rsidP="009C510D">
      <w:pPr>
        <w:shd w:val="clear" w:color="auto" w:fill="FFFFFF"/>
        <w:spacing w:before="100" w:beforeAutospacing="1" w:after="100" w:afterAutospacing="1" w:line="240" w:lineRule="auto"/>
        <w:jc w:val="center"/>
        <w:rPr>
          <w:rFonts w:cs="Arial"/>
          <w:color w:val="616161"/>
          <w:sz w:val="21"/>
          <w:szCs w:val="21"/>
        </w:rPr>
      </w:pPr>
      <w:r w:rsidRPr="006E0441">
        <w:rPr>
          <w:noProof/>
          <w:lang w:eastAsia="sl-SI"/>
        </w:rPr>
        <w:drawing>
          <wp:inline distT="0" distB="0" distL="0" distR="0" wp14:anchorId="412F7D78" wp14:editId="55ED2E9F">
            <wp:extent cx="5391150" cy="2638425"/>
            <wp:effectExtent l="0" t="0" r="0" b="952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p w:rsidR="00A932A4" w:rsidRPr="006E0441" w:rsidRDefault="00A932A4" w:rsidP="00A932A4">
      <w:pPr>
        <w:jc w:val="both"/>
        <w:rPr>
          <w:rFonts w:cs="Arial"/>
          <w:i/>
          <w:szCs w:val="20"/>
        </w:rPr>
      </w:pPr>
      <w:r w:rsidRPr="006E0441">
        <w:rPr>
          <w:rFonts w:cs="Arial"/>
          <w:i/>
          <w:szCs w:val="20"/>
        </w:rPr>
        <w:t>Glavni razlogi za predlagano spremembo:</w:t>
      </w:r>
    </w:p>
    <w:p w:rsidR="00A932A4" w:rsidRPr="006E0441" w:rsidRDefault="00A932A4" w:rsidP="00E22539">
      <w:pPr>
        <w:numPr>
          <w:ilvl w:val="0"/>
          <w:numId w:val="12"/>
        </w:numPr>
        <w:spacing w:after="0" w:line="260" w:lineRule="atLeast"/>
        <w:jc w:val="both"/>
        <w:rPr>
          <w:rFonts w:cs="Arial"/>
          <w:i/>
          <w:szCs w:val="20"/>
        </w:rPr>
      </w:pPr>
      <w:r w:rsidRPr="006E0441">
        <w:rPr>
          <w:rFonts w:cs="Arial"/>
          <w:i/>
          <w:szCs w:val="20"/>
        </w:rPr>
        <w:t xml:space="preserve">Zagotavljanje doseganja ciljnih vrednosti vseh kazalnikov učinka operativnega programa za to prednostno naložbo (zmanjšanje letne porabe primarne energije v javnih stavbah, zmanjšanje emisij toplogrednih plinov in kazalnik skupne tlorisna površina energetsko prenovljenih stavb javnega sektorja) in s tem posledično tudi doseganje kazalnikov rezultata ter črpanje vseh predvidenih sredstev za ta specifični cilj. </w:t>
      </w:r>
    </w:p>
    <w:p w:rsidR="00A932A4" w:rsidRPr="006E0441" w:rsidRDefault="00A932A4" w:rsidP="00E22539">
      <w:pPr>
        <w:numPr>
          <w:ilvl w:val="0"/>
          <w:numId w:val="12"/>
        </w:numPr>
        <w:spacing w:after="0" w:line="260" w:lineRule="atLeast"/>
        <w:jc w:val="both"/>
        <w:rPr>
          <w:rFonts w:cs="Arial"/>
          <w:i/>
          <w:szCs w:val="20"/>
        </w:rPr>
      </w:pPr>
      <w:r w:rsidRPr="006E0441">
        <w:rPr>
          <w:rFonts w:cs="Arial"/>
          <w:i/>
          <w:szCs w:val="20"/>
        </w:rPr>
        <w:t>Skrajšanje časa izvedbe investicij, ki bo zagotavljala čim prejšnjo ustrezno zdravstveno infrastrukturo, saj že intenzivno potekajo dejavnosti za realizacijo projektov med Ministrstvom za zdravje in Projektno pisarno za energetsko prenovo stavb na Ministrstvu za infrastrukturo (tudi v okviru projekta ELENA za pripravo zahtevane investicijske dokumentacije za uvrstitev projekta v načrt razvojnih programov – REP in DIIP).</w:t>
      </w:r>
    </w:p>
    <w:p w:rsidR="00A932A4" w:rsidRPr="006E0441" w:rsidRDefault="00A932A4" w:rsidP="00E22539">
      <w:pPr>
        <w:numPr>
          <w:ilvl w:val="0"/>
          <w:numId w:val="12"/>
        </w:numPr>
        <w:spacing w:after="0" w:line="260" w:lineRule="atLeast"/>
        <w:jc w:val="both"/>
        <w:rPr>
          <w:rFonts w:cs="Arial"/>
          <w:i/>
          <w:szCs w:val="20"/>
        </w:rPr>
      </w:pPr>
      <w:r w:rsidRPr="006E0441">
        <w:rPr>
          <w:rFonts w:cs="Arial"/>
          <w:i/>
          <w:szCs w:val="20"/>
        </w:rPr>
        <w:t xml:space="preserve">Pospešitev investicij energetske sanacije za stavbe v državni lasti, ki imajo poseben družbeni pomen, še posebej v času epidemije COVID-19 in po njej in izkazujejo največji potencial za doseganje ciljev na področju učinkovite rabe energije, obnovljivih virov in zmanjšanja toplogrednih plinov. </w:t>
      </w:r>
    </w:p>
    <w:p w:rsidR="00752727" w:rsidRDefault="00752727" w:rsidP="00441A17">
      <w:pPr>
        <w:rPr>
          <w:b/>
        </w:rPr>
      </w:pPr>
    </w:p>
    <w:p w:rsidR="00935504" w:rsidRDefault="00935504" w:rsidP="00441A17">
      <w:pPr>
        <w:rPr>
          <w:b/>
        </w:rPr>
      </w:pPr>
    </w:p>
    <w:p w:rsidR="00935504" w:rsidRPr="006E0441" w:rsidRDefault="00935504" w:rsidP="00441A17">
      <w:pPr>
        <w:rPr>
          <w:b/>
        </w:rPr>
      </w:pPr>
    </w:p>
    <w:p w:rsidR="00441A17" w:rsidRPr="006E0441" w:rsidRDefault="00441A17" w:rsidP="00441A17">
      <w:pPr>
        <w:rPr>
          <w:b/>
        </w:rPr>
      </w:pPr>
      <w:r w:rsidRPr="006E0441">
        <w:rPr>
          <w:b/>
        </w:rPr>
        <w:lastRenderedPageBreak/>
        <w:t>Prednostna naložba 4.</w:t>
      </w:r>
      <w:r w:rsidR="00933AB5" w:rsidRPr="006E0441">
        <w:rPr>
          <w:b/>
        </w:rPr>
        <w:t>1.</w:t>
      </w:r>
      <w:r w:rsidR="00933AB5" w:rsidRPr="006E0441" w:rsidDel="00933AB5">
        <w:rPr>
          <w:b/>
        </w:rPr>
        <w:t xml:space="preserve"> </w:t>
      </w:r>
    </w:p>
    <w:p w:rsidR="00441A17" w:rsidRPr="006E0441" w:rsidRDefault="00441A17" w:rsidP="00441A17">
      <w:pPr>
        <w:spacing w:before="120"/>
        <w:jc w:val="both"/>
      </w:pPr>
      <w:r w:rsidRPr="006E0441">
        <w:t>Predlog spremembe</w:t>
      </w:r>
      <w:r w:rsidRPr="006E0441">
        <w:rPr>
          <w:i/>
        </w:rPr>
        <w:t>:</w:t>
      </w:r>
      <w:r w:rsidRPr="006E0441">
        <w:t xml:space="preserve"> prenos sredstev v višini 354.819.55 EUR EU dela sredst</w:t>
      </w:r>
      <w:r w:rsidR="002A4DB4" w:rsidRPr="006E0441">
        <w:t>e</w:t>
      </w:r>
      <w:r w:rsidRPr="006E0441">
        <w:t>v Kohezijskega skl</w:t>
      </w:r>
      <w:r w:rsidR="002A4DB4" w:rsidRPr="006E0441">
        <w:t>ada z namenom uskladit</w:t>
      </w:r>
      <w:r w:rsidRPr="006E0441">
        <w:t>v</w:t>
      </w:r>
      <w:r w:rsidR="002A4DB4" w:rsidRPr="006E0441">
        <w:t>e</w:t>
      </w:r>
      <w:r w:rsidRPr="006E0441">
        <w:t xml:space="preserve"> zneskov </w:t>
      </w:r>
      <w:r w:rsidR="002A4DB4" w:rsidRPr="006E0441">
        <w:t xml:space="preserve">za </w:t>
      </w:r>
      <w:r w:rsidRPr="006E0441">
        <w:t>namene izvajanj</w:t>
      </w:r>
      <w:r w:rsidR="002A4DB4" w:rsidRPr="006E0441">
        <w:t>a</w:t>
      </w:r>
      <w:r w:rsidRPr="006E0441">
        <w:t xml:space="preserve"> CTN.</w:t>
      </w:r>
    </w:p>
    <w:p w:rsidR="00FD4F4D" w:rsidRPr="006E0441" w:rsidRDefault="00441A17" w:rsidP="00752727">
      <w:pPr>
        <w:spacing w:before="120"/>
        <w:jc w:val="both"/>
        <w:rPr>
          <w:b/>
        </w:rPr>
      </w:pPr>
      <w:r w:rsidRPr="006E0441">
        <w:t>Sredstva se prenese na PN 4.4</w:t>
      </w:r>
      <w:r w:rsidR="009836AF" w:rsidRPr="006E0441">
        <w:t xml:space="preserve"> Kolesarske povezave</w:t>
      </w:r>
      <w:r w:rsidR="00D63E36" w:rsidRPr="006E0441">
        <w:t>, v okviru CTN</w:t>
      </w:r>
      <w:r w:rsidRPr="006E0441">
        <w:t>.</w:t>
      </w:r>
    </w:p>
    <w:p w:rsidR="00FA1A73" w:rsidRPr="006E0441" w:rsidRDefault="00FA1A73" w:rsidP="00752727">
      <w:pPr>
        <w:spacing w:before="120"/>
        <w:jc w:val="both"/>
        <w:rPr>
          <w:b/>
        </w:rPr>
      </w:pPr>
    </w:p>
    <w:p w:rsidR="00CC3647" w:rsidRPr="006E0441" w:rsidRDefault="00CC3647" w:rsidP="00742A6F">
      <w:pPr>
        <w:rPr>
          <w:b/>
        </w:rPr>
      </w:pPr>
      <w:r w:rsidRPr="006E0441">
        <w:rPr>
          <w:b/>
        </w:rPr>
        <w:t>Prednostna naložba 4.3</w:t>
      </w:r>
    </w:p>
    <w:p w:rsidR="00A932A4" w:rsidRPr="006E0441" w:rsidRDefault="00A932A4" w:rsidP="00A932A4">
      <w:pPr>
        <w:jc w:val="both"/>
        <w:rPr>
          <w:rFonts w:cs="Arial"/>
          <w:szCs w:val="20"/>
        </w:rPr>
      </w:pPr>
      <w:r w:rsidRPr="006E0441">
        <w:rPr>
          <w:rFonts w:cs="Arial"/>
          <w:szCs w:val="20"/>
        </w:rPr>
        <w:t xml:space="preserve">Predlog spremembe: Predlaga se znižanje sredstev v višini 8.356.150,29 EUR EU sredstev ki je bilo načrtovano za spodbujanje postavitve pametne infrastrukture, hranilnikov električne energije ter IKT naprav za aktivno vključevanje proizvodnje ter odjema, kar bi prispevalo k zniževanju koničnih obremenitev in k izboljšanju izkoriščenosti elektroenergetskega omrežja. Sredstva se prerazporedijo na prednostno naložbo 7.1 – železniška infrastruktura. </w:t>
      </w:r>
    </w:p>
    <w:p w:rsidR="00A932A4" w:rsidRPr="006E0441" w:rsidRDefault="00A932A4" w:rsidP="00A932A4">
      <w:pPr>
        <w:jc w:val="both"/>
        <w:rPr>
          <w:rFonts w:cs="Arial"/>
          <w:color w:val="FF0000"/>
          <w:szCs w:val="20"/>
        </w:rPr>
      </w:pPr>
    </w:p>
    <w:p w:rsidR="00A932A4" w:rsidRPr="006E0441" w:rsidRDefault="00A932A4" w:rsidP="00A932A4">
      <w:pPr>
        <w:jc w:val="both"/>
        <w:rPr>
          <w:rStyle w:val="Neenpoudarek"/>
          <w:rFonts w:cs="Arial"/>
          <w:i w:val="0"/>
          <w:color w:val="auto"/>
        </w:rPr>
      </w:pPr>
      <w:r w:rsidRPr="006E0441">
        <w:rPr>
          <w:rStyle w:val="Neenpoudarek"/>
          <w:rFonts w:cs="Arial"/>
          <w:color w:val="auto"/>
        </w:rPr>
        <w:t>Obrazložitev:</w:t>
      </w:r>
      <w:r w:rsidRPr="006E0441">
        <w:rPr>
          <w:rStyle w:val="Neenpoudarek"/>
          <w:rFonts w:cs="Arial"/>
          <w:i w:val="0"/>
          <w:color w:val="auto"/>
        </w:rPr>
        <w:t xml:space="preserve"> </w:t>
      </w:r>
    </w:p>
    <w:p w:rsidR="00A932A4" w:rsidRPr="006E0441" w:rsidRDefault="00A932A4" w:rsidP="00A932A4">
      <w:pPr>
        <w:jc w:val="both"/>
        <w:rPr>
          <w:rStyle w:val="Neenpoudarek"/>
          <w:rFonts w:cs="Arial"/>
          <w:i w:val="0"/>
          <w:color w:val="auto"/>
        </w:rPr>
      </w:pPr>
      <w:r w:rsidRPr="006E0441">
        <w:rPr>
          <w:rStyle w:val="Neenpoudarek"/>
          <w:rFonts w:cs="Arial"/>
          <w:i w:val="0"/>
          <w:color w:val="auto"/>
        </w:rPr>
        <w:t>V letu 2017 je bil objavljen Javni razpis za sofinanciranje nakupa in vgradnje pametnih števcev električne energije za obdobje 2017-2022, v okviru katerega je bilo razpisanih 13.897.800,00 EUR EU sredstev ter sklenjene tri pogodbe v vrednosti 11.541.649,71 EUR, kar predstavlja 321.859 priključenih uporabnikov. Zaključek operacij je predviden konec oktobra 2022, ko bosta predvidoma dosežena tudi oba kazalnika: delež priključenih uporabnikov na napredne merilne sisteme (85 %) in energetska učinkovitost števila dodatnih uporabnikov energije, priključenih na pametna omrežja (ciljna vrednost 300.000 uporabnikov).</w:t>
      </w:r>
    </w:p>
    <w:p w:rsidR="00A932A4" w:rsidRPr="006E0441" w:rsidRDefault="00A932A4" w:rsidP="00A932A4">
      <w:pPr>
        <w:jc w:val="both"/>
        <w:rPr>
          <w:rStyle w:val="Neenpoudarek"/>
          <w:rFonts w:cs="Arial"/>
          <w:i w:val="0"/>
          <w:color w:val="auto"/>
        </w:rPr>
      </w:pPr>
      <w:r w:rsidRPr="006E0441">
        <w:rPr>
          <w:rStyle w:val="Neenpoudarek"/>
          <w:rFonts w:cs="Arial"/>
          <w:i w:val="0"/>
          <w:color w:val="auto"/>
        </w:rPr>
        <w:t xml:space="preserve">V okviru implementacije PN 4.3 so bile predvidene </w:t>
      </w:r>
      <w:r w:rsidRPr="006E0441">
        <w:rPr>
          <w:rFonts w:cs="Arial"/>
          <w:bCs/>
          <w:szCs w:val="20"/>
          <w:lang w:eastAsia="sl-SI"/>
        </w:rPr>
        <w:t xml:space="preserve">tudi druge s tem povezane dejavnosti, in sicer pripadajoča IKT infrastruktura, izobraževalne in demonstracijske dejavnosti, hranilniki električne energije, koncepti regulacije napetosti, upravljanje porabe, idr., ki pa se v obdobju do konca leta 2023 še ne bodo izvedle. Z implementacijo Direktive (EU) 2019/44 Evropskega parlamenta in Sveta z dne 5. 6.2019 o skupnih pravilih notranjega trga električne energije in spremembo Direktive 2012/27/EU v nacionalno zakonodajo se bistveno spreminja zakonska ureditev področja pametnih omrežij in pametnih števcev. Glede na to, da je sprejetje omenjene Direktive (EU) 2019/44 v naš pravni red predvideno konec leta 2021, ocenjujemo, da je do konca leta 2023 časovno neizvedljiva objava novega razpisa in realizacija projektov, skladno s spremenjeno zakonodajo na področju pametnih omrežij. </w:t>
      </w:r>
    </w:p>
    <w:p w:rsidR="002104F1" w:rsidRPr="006E0441" w:rsidRDefault="004C797B" w:rsidP="004C797B">
      <w:pPr>
        <w:pStyle w:val="Naslov4"/>
        <w:rPr>
          <w:b/>
        </w:rPr>
      </w:pPr>
      <w:r w:rsidRPr="006E0441">
        <w:rPr>
          <w:b/>
        </w:rPr>
        <w:t xml:space="preserve"> </w:t>
      </w:r>
    </w:p>
    <w:p w:rsidR="00F520B1" w:rsidRPr="006E0441" w:rsidRDefault="00F520B1" w:rsidP="00F96696"/>
    <w:p w:rsidR="004C797B" w:rsidRPr="006E0441" w:rsidRDefault="004C797B" w:rsidP="004C797B">
      <w:pPr>
        <w:pStyle w:val="Naslov4"/>
        <w:rPr>
          <w:b/>
        </w:rPr>
      </w:pPr>
      <w:r w:rsidRPr="006E0441">
        <w:rPr>
          <w:b/>
        </w:rPr>
        <w:t>Prednostna os 5</w:t>
      </w:r>
    </w:p>
    <w:p w:rsidR="00F520B1" w:rsidRPr="006E0441" w:rsidRDefault="00F520B1" w:rsidP="004C797B">
      <w:pPr>
        <w:rPr>
          <w:b/>
        </w:rPr>
      </w:pPr>
    </w:p>
    <w:p w:rsidR="004C797B" w:rsidRPr="006E0441" w:rsidRDefault="004C797B" w:rsidP="004C797B">
      <w:pPr>
        <w:rPr>
          <w:b/>
        </w:rPr>
      </w:pPr>
      <w:r w:rsidRPr="006E0441">
        <w:rPr>
          <w:b/>
        </w:rPr>
        <w:t>5.1 Prilagajanje na podnebne spremembe</w:t>
      </w:r>
    </w:p>
    <w:p w:rsidR="000752E7" w:rsidRPr="006E0441" w:rsidRDefault="004C797B" w:rsidP="004C797B">
      <w:pPr>
        <w:spacing w:after="0" w:line="240" w:lineRule="auto"/>
        <w:jc w:val="both"/>
      </w:pPr>
      <w:r w:rsidRPr="006E0441">
        <w:t xml:space="preserve">Na področju PN 5.1 je glede najnižje stanje realizacije pravic porabe in sicer zgolj 10%.Obstaja tveganje za 100 % črpanje. Predlaga se, da se prerazporedi v predlagani višini </w:t>
      </w:r>
      <w:r w:rsidR="00DA345B" w:rsidRPr="006E0441">
        <w:rPr>
          <w:rFonts w:ascii="Calibri" w:eastAsia="Times New Roman" w:hAnsi="Calibri" w:cs="Calibri"/>
          <w:color w:val="000000"/>
          <w:lang w:eastAsia="sl-SI"/>
        </w:rPr>
        <w:t>5,2</w:t>
      </w:r>
      <w:r w:rsidR="00602152" w:rsidRPr="006E0441">
        <w:rPr>
          <w:rFonts w:ascii="Calibri" w:eastAsia="Times New Roman" w:hAnsi="Calibri" w:cs="Calibri"/>
          <w:color w:val="000000"/>
          <w:lang w:eastAsia="sl-SI"/>
        </w:rPr>
        <w:t xml:space="preserve"> mio EUR</w:t>
      </w:r>
      <w:r w:rsidRPr="006E0441">
        <w:rPr>
          <w:rFonts w:ascii="Calibri" w:eastAsia="Times New Roman" w:hAnsi="Calibri" w:cs="Calibri"/>
          <w:color w:val="000000"/>
          <w:lang w:eastAsia="sl-SI"/>
        </w:rPr>
        <w:t xml:space="preserve"> Kohezijskega sklada. Predlaga se prerazporeditev na PN </w:t>
      </w:r>
      <w:r w:rsidRPr="006E0441">
        <w:t>6.1 - Boljše stanje okolja in biotske raznovrstnosti, kjer so potrebe zaradi povečanja pravic porabe iz leta 2017 najvišje</w:t>
      </w:r>
      <w:r w:rsidR="0049477B" w:rsidRPr="006E0441">
        <w:t xml:space="preserve"> (sicer predvideno financiranje projektov odvajanja in čiščenja voda ter pitne vode tudi iz integralnega proračuna RS)</w:t>
      </w:r>
      <w:r w:rsidRPr="006E0441">
        <w:t>.</w:t>
      </w:r>
    </w:p>
    <w:p w:rsidR="00F520B1" w:rsidRPr="006E0441" w:rsidRDefault="00F520B1" w:rsidP="00F96696"/>
    <w:p w:rsidR="005662B1" w:rsidRPr="006E0441" w:rsidRDefault="005662B1" w:rsidP="0000779E">
      <w:pPr>
        <w:pStyle w:val="Naslov4"/>
        <w:rPr>
          <w:b/>
        </w:rPr>
      </w:pPr>
      <w:r w:rsidRPr="006E0441">
        <w:rPr>
          <w:b/>
        </w:rPr>
        <w:lastRenderedPageBreak/>
        <w:t>PREDNOSTNA OS 7</w:t>
      </w:r>
    </w:p>
    <w:p w:rsidR="00063FC9" w:rsidRPr="006E0441" w:rsidRDefault="00063FC9" w:rsidP="000752E7">
      <w:pPr>
        <w:rPr>
          <w:b/>
        </w:rPr>
      </w:pPr>
    </w:p>
    <w:p w:rsidR="005662B1" w:rsidRPr="006E0441" w:rsidRDefault="005662B1" w:rsidP="000752E7">
      <w:pPr>
        <w:rPr>
          <w:b/>
        </w:rPr>
      </w:pPr>
      <w:r w:rsidRPr="006E0441">
        <w:rPr>
          <w:b/>
        </w:rPr>
        <w:t>Prednostna naložba 7.1</w:t>
      </w:r>
    </w:p>
    <w:p w:rsidR="00A932A4" w:rsidRPr="006E0441" w:rsidRDefault="00A932A4" w:rsidP="009C510D">
      <w:pPr>
        <w:jc w:val="both"/>
      </w:pPr>
      <w:r w:rsidRPr="006E0441">
        <w:t>Predlog spremembe:</w:t>
      </w:r>
    </w:p>
    <w:p w:rsidR="00A932A4" w:rsidRPr="006E0441" w:rsidRDefault="00A932A4">
      <w:pPr>
        <w:jc w:val="both"/>
        <w:rPr>
          <w:rFonts w:cs="Arial"/>
        </w:rPr>
      </w:pPr>
      <w:r w:rsidRPr="006E0441">
        <w:rPr>
          <w:rFonts w:cs="Arial"/>
        </w:rPr>
        <w:t>V točki 2.A.6.2. - Vodilna načela za izbiro operacij predlagamo vključitev opisa projekta »Varnostno-tehnična nadgradnja železniškega predora Karavanke«, ki je v obstoječem OP vključen v točki 2.A.6.4- Načrtovana uporaba velikih projektov med rezervne projekta za sofinanciranje iz sredstev EKP oz. IPE finančne perspektive 2014 – 2020.</w:t>
      </w:r>
    </w:p>
    <w:p w:rsidR="00A932A4" w:rsidRPr="006E0441" w:rsidRDefault="00A932A4">
      <w:pPr>
        <w:spacing w:before="120"/>
        <w:jc w:val="both"/>
        <w:rPr>
          <w:rFonts w:cs="Arial"/>
        </w:rPr>
      </w:pPr>
      <w:r w:rsidRPr="006E0441">
        <w:rPr>
          <w:rFonts w:cs="Arial"/>
        </w:rPr>
        <w:t>Predlagamo vključitev projekta z naslednjim besedilom (OP EKP, str. 250):</w:t>
      </w:r>
    </w:p>
    <w:p w:rsidR="00A932A4" w:rsidRPr="006E0441" w:rsidRDefault="00A932A4">
      <w:pPr>
        <w:jc w:val="both"/>
        <w:rPr>
          <w:rFonts w:cs="Arial"/>
        </w:rPr>
      </w:pPr>
      <w:r w:rsidRPr="006E0441">
        <w:rPr>
          <w:rFonts w:cs="Arial"/>
        </w:rPr>
        <w:t xml:space="preserve">“Varnostno-tehnična nadgradnja železniškega predora Karavanke, katere osnovni cilj je izboljšanje varnostno-tehničnih pogojev v predoru Karavanke, varnosti železniškega prometa in potnikov ter omogočanje učinkovitega reševanja v primeru nesreč in zagotovitev dviga kategorije proge D4. Prav tako bodo z izvedbo investicije izboljšani hitrostni parametri za učinkovito delovanje železniškega tovornega prometa in posledično tudi izboljšani pogoji odvijanja potniškega prometa. Varnostno-tehnično nadgradnjo železniškega predora je treba izvesti za zadostitev pogojev v skladu z Odločbo Evropske Komisije 2016/912 z dne 9. junija 2016 o popravku Uredbe Komisije (EU) št. 1303/2014 o tehnični specifikaciji za </w:t>
      </w:r>
      <w:proofErr w:type="spellStart"/>
      <w:r w:rsidRPr="006E0441">
        <w:rPr>
          <w:rFonts w:cs="Arial"/>
        </w:rPr>
        <w:t>interoperabilnost</w:t>
      </w:r>
      <w:proofErr w:type="spellEnd"/>
      <w:r w:rsidRPr="006E0441">
        <w:rPr>
          <w:rFonts w:cs="Arial"/>
        </w:rPr>
        <w:t xml:space="preserve"> v zvezi z »varnostjo v železniških predorih« železniškega sistema Evropske unije. </w:t>
      </w:r>
    </w:p>
    <w:p w:rsidR="00542769" w:rsidRPr="006E0441" w:rsidRDefault="00542769" w:rsidP="00542769">
      <w:pPr>
        <w:jc w:val="both"/>
        <w:rPr>
          <w:rFonts w:cs="Arial"/>
        </w:rPr>
      </w:pPr>
      <w:r w:rsidRPr="006E0441">
        <w:rPr>
          <w:rFonts w:cs="Arial"/>
        </w:rPr>
        <w:t>Za predmetni projekt je izdelana projektna dokumentacija na nivoju Izvedbenih načrtov ter izdelan in potrjen Investicijski program. Podpisani sta pogodba za glavna izvedbena dela  in pogodba za prilagoditev signalno-varnostnih naprav na železniški postaji Jesenice. V postopku javnega naročanja pa je (1) izvedba signalno-varnostnih in telekomunikacijskih naprav ter elektroenergetskih komponent za nadgradnjo predora ter (2) izvedba vozne mreže, sevalnega kabla in GSM-R.”</w:t>
      </w:r>
    </w:p>
    <w:p w:rsidR="00A932A4" w:rsidRPr="006E0441" w:rsidRDefault="002104F1" w:rsidP="009C510D">
      <w:pPr>
        <w:jc w:val="both"/>
        <w:rPr>
          <w:rFonts w:cs="Arial"/>
        </w:rPr>
      </w:pPr>
      <w:r w:rsidRPr="006E0441">
        <w:rPr>
          <w:rFonts w:cs="Arial"/>
        </w:rPr>
        <w:t xml:space="preserve">Hkrati se prilagodijo vrednosti kazalnikov. </w:t>
      </w:r>
    </w:p>
    <w:p w:rsidR="00542769" w:rsidRPr="006E0441" w:rsidRDefault="00542769" w:rsidP="00542769">
      <w:pPr>
        <w:jc w:val="both"/>
        <w:rPr>
          <w:rFonts w:cs="Arial"/>
        </w:rPr>
      </w:pPr>
      <w:r w:rsidRPr="006E0441">
        <w:rPr>
          <w:rFonts w:cs="Arial"/>
        </w:rPr>
        <w:t>Zaradi zelo visoke stopnje zrelosti investicije ter nujnosti izvedbe del za povečanje varnosti odvijanja železniškega prometa v predoru Karavanke, je za povečanje hitrosti črpanja EU sredstev na področju vlaganj v železniško infrastrukturo, smiselna vključitev projekta v sofinanciranje iz sredstev Kohezijskega sklada. Vsi postopki javnega naročanja so bili izvedeni skupaj z Republiko Avstrijo, tako da se bo izvedba izvajala sočasno za celoten železniški predor. Podpisani sta pogodba za glavna izvedbena dela in pogodba za izvedbo nadgradnje signalno-varnostnih naprav na postaji Jesenice. V zaključni fazi sta še 2 javni naročili (za izvedbo signalno-varnostnih naprav in za postavitev vozne mreže). Podpis obeh pogodb je predviden v 09/2020. Dela se bodo izvajala v času dogovorjene polne zapore proge od 10/2020 – 07/2021. Predviden zaključek izvedbe del je konec 2021. Z izvedbo projekta se bo nadgradilo 6,09 km železniške proge. Prav tako se je popravila dolžina nadgradnje železniške proge Maribor-Šentilj-</w:t>
      </w:r>
      <w:proofErr w:type="spellStart"/>
      <w:r w:rsidRPr="006E0441">
        <w:rPr>
          <w:rFonts w:cs="Arial"/>
        </w:rPr>
        <w:t>d.m</w:t>
      </w:r>
      <w:proofErr w:type="spellEnd"/>
      <w:r w:rsidRPr="006E0441">
        <w:rPr>
          <w:rFonts w:cs="Arial"/>
        </w:rPr>
        <w:t>. iz 17 km na 18,15 km, tako da znaša nova skupna dolžina nadgrajenih železniških prog do konca l. 2023 24,24 km.</w:t>
      </w:r>
    </w:p>
    <w:p w:rsidR="00542769" w:rsidRPr="006E0441" w:rsidRDefault="00542769" w:rsidP="00542769">
      <w:pPr>
        <w:rPr>
          <w:rFonts w:cs="Arial"/>
        </w:rPr>
      </w:pPr>
      <w:r w:rsidRPr="006E0441">
        <w:rPr>
          <w:rFonts w:cs="Arial"/>
        </w:rPr>
        <w:t xml:space="preserve">Na osnovi izvedenega podrobnega izračuna kilometrov nove železniške proge, ki bo zgrajena v okviru izvede operacije </w:t>
      </w:r>
      <w:r w:rsidRPr="006E0441">
        <w:rPr>
          <w:rFonts w:cs="Arial"/>
          <w:i/>
        </w:rPr>
        <w:t>Del drugega tira Divača-Koper – Ukrep 3 (gradnja predora T8 in viaduktov V1 in V2),</w:t>
      </w:r>
      <w:r w:rsidRPr="006E0441">
        <w:rPr>
          <w:rFonts w:cs="Arial"/>
        </w:rPr>
        <w:t xml:space="preserve"> se izvede uskladitev višine kazalnika »7.8 – Skupna dolžina novozgrajenih viaduktov in predorov brez opreme v km« iz 3,20 km na 4,90 km.</w:t>
      </w:r>
    </w:p>
    <w:p w:rsidR="00FA1A73" w:rsidRDefault="00FA1A73" w:rsidP="000752E7">
      <w:pPr>
        <w:rPr>
          <w:b/>
        </w:rPr>
      </w:pPr>
    </w:p>
    <w:p w:rsidR="00935504" w:rsidRPr="006E0441" w:rsidRDefault="00935504" w:rsidP="000752E7">
      <w:pPr>
        <w:rPr>
          <w:b/>
        </w:rPr>
      </w:pPr>
    </w:p>
    <w:p w:rsidR="005662B1" w:rsidRPr="006E0441" w:rsidRDefault="005662B1" w:rsidP="000752E7">
      <w:pPr>
        <w:rPr>
          <w:b/>
        </w:rPr>
      </w:pPr>
      <w:r w:rsidRPr="006E0441">
        <w:rPr>
          <w:b/>
        </w:rPr>
        <w:lastRenderedPageBreak/>
        <w:t>Prednostna naložba 7.2</w:t>
      </w:r>
    </w:p>
    <w:p w:rsidR="00A932A4" w:rsidRPr="006E0441" w:rsidRDefault="00A932A4" w:rsidP="00A932A4">
      <w:r w:rsidRPr="006E0441">
        <w:t>Predlog spremembe:</w:t>
      </w:r>
    </w:p>
    <w:p w:rsidR="00A932A4" w:rsidRPr="006E0441" w:rsidRDefault="00A932A4" w:rsidP="00A932A4">
      <w:pPr>
        <w:jc w:val="both"/>
        <w:rPr>
          <w:rFonts w:cs="Arial"/>
          <w:szCs w:val="20"/>
        </w:rPr>
      </w:pPr>
      <w:r w:rsidRPr="006E0441">
        <w:rPr>
          <w:rFonts w:cs="Arial"/>
          <w:szCs w:val="20"/>
        </w:rPr>
        <w:t xml:space="preserve">V točki Opis vrste in primerov ukrepov, ki jim je namenjena podpora, in njihovega pričakovanega prispevka k posebnim ciljem, po potrebi vključno z opredelitvijo glavnih ciljnih skupin, posebnih ozemelj, na katera se nanašajo, in vrst upravičencev se pri Prednostni naložbi 7b - Izboljšanje regionalne mobilnosti s povezovanjem sekundarnih in terciarnih prometnih vozlišč z infrastrukturo TEN-T, tudi prek </w:t>
      </w:r>
      <w:proofErr w:type="spellStart"/>
      <w:r w:rsidRPr="006E0441">
        <w:rPr>
          <w:rFonts w:cs="Arial"/>
          <w:szCs w:val="20"/>
        </w:rPr>
        <w:t>multimodalnih</w:t>
      </w:r>
      <w:proofErr w:type="spellEnd"/>
      <w:r w:rsidRPr="006E0441">
        <w:rPr>
          <w:rFonts w:cs="Arial"/>
          <w:szCs w:val="20"/>
        </w:rPr>
        <w:t xml:space="preserve"> vozlišč v prvem in tretjem odstavku predlaga sprememba besedila v: </w:t>
      </w:r>
    </w:p>
    <w:p w:rsidR="00A932A4" w:rsidRPr="006E0441" w:rsidRDefault="00A932A4" w:rsidP="00A932A4">
      <w:pPr>
        <w:jc w:val="both"/>
        <w:rPr>
          <w:rFonts w:cs="Arial"/>
          <w:szCs w:val="20"/>
        </w:rPr>
      </w:pPr>
      <w:r w:rsidRPr="006E0441">
        <w:rPr>
          <w:rFonts w:cs="Arial"/>
          <w:szCs w:val="20"/>
        </w:rPr>
        <w:t>“V okviru te prednostne naložbe bomo sredstva vlagali v projekt identificiran v SRP na 3. razvojni osi, obvoznico Murska Sobota (1. etapa) in obvoznico Krško ter druge regionalne povezave na TEN omrežje, izhajajoče iz prometne strategije (izključno cestna infrastruktura), ki so v skupnem interesu regije in države in v pripravo dokumentacije za odseke 3. razvojne osi, z navezavami.</w:t>
      </w:r>
    </w:p>
    <w:p w:rsidR="00A932A4" w:rsidRPr="006E0441" w:rsidRDefault="00A932A4" w:rsidP="00A932A4">
      <w:pPr>
        <w:jc w:val="both"/>
        <w:rPr>
          <w:rFonts w:cs="Arial"/>
          <w:szCs w:val="20"/>
        </w:rPr>
      </w:pPr>
      <w:r w:rsidRPr="006E0441">
        <w:rPr>
          <w:rFonts w:cs="Arial"/>
          <w:szCs w:val="20"/>
        </w:rPr>
        <w:t>V okviru te prednostne naložbe bomo sredstva vlagali v konkretizacijo posameznih faz projekta identificiranih v SRP v okviru 3. razvojni osi ter v pripravo dokumentacije za posamezne odseke na različnih delih 3. razvojne osi, z navezavami.«</w:t>
      </w:r>
    </w:p>
    <w:p w:rsidR="003714CC" w:rsidRPr="006E0441" w:rsidRDefault="00A932A4" w:rsidP="006D193D">
      <w:pPr>
        <w:jc w:val="both"/>
        <w:rPr>
          <w:rStyle w:val="Neenpoudarek"/>
          <w:i w:val="0"/>
          <w:color w:val="auto"/>
        </w:rPr>
      </w:pPr>
      <w:r w:rsidRPr="006E0441">
        <w:rPr>
          <w:rStyle w:val="Neenpoudarek"/>
          <w:i w:val="0"/>
          <w:color w:val="auto"/>
        </w:rPr>
        <w:t>Redakcijski popravek je pripravljen zaradi večje jasnosti in se nanaša na bolj specifično opredelitev drugih odsekov 3. razvojne osi.</w:t>
      </w:r>
    </w:p>
    <w:p w:rsidR="00D27C25" w:rsidRPr="006E0441" w:rsidRDefault="00D27C25" w:rsidP="006D193D">
      <w:pPr>
        <w:jc w:val="both"/>
        <w:rPr>
          <w:rStyle w:val="Neenpoudarek"/>
          <w:i w:val="0"/>
          <w:color w:val="auto"/>
        </w:rPr>
      </w:pPr>
    </w:p>
    <w:p w:rsidR="00D27C25" w:rsidRPr="006E0441" w:rsidRDefault="00D27C25" w:rsidP="00F96696">
      <w:pPr>
        <w:pStyle w:val="Naslov4"/>
        <w:rPr>
          <w:b/>
        </w:rPr>
      </w:pPr>
      <w:r w:rsidRPr="006E0441">
        <w:rPr>
          <w:b/>
        </w:rPr>
        <w:t>PREDNOSTNA OS 9</w:t>
      </w:r>
    </w:p>
    <w:p w:rsidR="00D27C25" w:rsidRPr="006E0441" w:rsidRDefault="00D27C25" w:rsidP="00F96696"/>
    <w:p w:rsidR="00D27C25" w:rsidRPr="006E0441" w:rsidRDefault="00D27C25" w:rsidP="00F96696">
      <w:pPr>
        <w:rPr>
          <w:b/>
        </w:rPr>
      </w:pPr>
      <w:r w:rsidRPr="006E0441">
        <w:rPr>
          <w:b/>
        </w:rPr>
        <w:t>Prednostna naložba 9.3</w:t>
      </w:r>
    </w:p>
    <w:p w:rsidR="00D27C25" w:rsidRPr="006E0441" w:rsidRDefault="00D27C25" w:rsidP="00F96696">
      <w:r w:rsidRPr="006E0441">
        <w:t>Predlog spremembe:</w:t>
      </w:r>
    </w:p>
    <w:p w:rsidR="00D27C25" w:rsidRPr="006E0441" w:rsidRDefault="00D27C25" w:rsidP="00D27C25">
      <w:pPr>
        <w:tabs>
          <w:tab w:val="left" w:pos="252"/>
        </w:tabs>
        <w:jc w:val="both"/>
        <w:rPr>
          <w:rStyle w:val="Neenpoudarek"/>
          <w:i w:val="0"/>
          <w:color w:val="auto"/>
        </w:rPr>
      </w:pPr>
      <w:r w:rsidRPr="006E0441">
        <w:rPr>
          <w:rStyle w:val="Neenpoudarek"/>
          <w:i w:val="0"/>
          <w:color w:val="auto"/>
        </w:rPr>
        <w:t xml:space="preserve">V točki Opis vrste in primerov ukrepov, ki jim je namenjena podpora, in njihovega pričakovanega prispevka k posebnim ciljem, po potrebi vključno z opredelitvijo glavnih ciljnih skupin, posebnih ozemelj, na katera se nanašajo, in vrst upravičencev se pri Prednosti naložbi 9a doda ukrep: </w:t>
      </w:r>
      <w:r w:rsidR="00CF7208">
        <w:rPr>
          <w:rStyle w:val="Neenpoudarek"/>
          <w:i w:val="0"/>
          <w:color w:val="auto"/>
        </w:rPr>
        <w:t xml:space="preserve">                                     </w:t>
      </w:r>
      <w:r w:rsidRPr="006E0441">
        <w:rPr>
          <w:rStyle w:val="Neenpoudarek"/>
          <w:i w:val="0"/>
          <w:color w:val="auto"/>
        </w:rPr>
        <w:t>-</w:t>
      </w:r>
      <w:r w:rsidRPr="006E0441">
        <w:rPr>
          <w:rStyle w:val="Neenpoudarek"/>
          <w:i w:val="0"/>
          <w:color w:val="auto"/>
        </w:rPr>
        <w:tab/>
        <w:t>krepitev odpornosti zdravstvenih sistemov, zaradi pandemije covid-19.</w:t>
      </w:r>
    </w:p>
    <w:p w:rsidR="00D27C25" w:rsidRPr="006E0441" w:rsidRDefault="00D27C25" w:rsidP="00D27C25">
      <w:pPr>
        <w:jc w:val="both"/>
        <w:rPr>
          <w:rStyle w:val="Neenpoudarek"/>
          <w:i w:val="0"/>
          <w:color w:val="auto"/>
        </w:rPr>
      </w:pPr>
      <w:r w:rsidRPr="006E0441">
        <w:rPr>
          <w:rStyle w:val="Neenpoudarek"/>
          <w:i w:val="0"/>
          <w:color w:val="auto"/>
        </w:rPr>
        <w:t xml:space="preserve">Zaradi izbruha nalezljive bolezni </w:t>
      </w:r>
      <w:proofErr w:type="spellStart"/>
      <w:r w:rsidRPr="006E0441">
        <w:rPr>
          <w:rStyle w:val="Neenpoudarek"/>
          <w:i w:val="0"/>
          <w:color w:val="auto"/>
        </w:rPr>
        <w:t>koronavirus</w:t>
      </w:r>
      <w:proofErr w:type="spellEnd"/>
      <w:r w:rsidRPr="006E0441">
        <w:rPr>
          <w:rStyle w:val="Neenpoudarek"/>
          <w:i w:val="0"/>
          <w:color w:val="auto"/>
        </w:rPr>
        <w:t xml:space="preserve"> COVID-19 je potrebno čim hitreje začeti z izvajanjem ukrepov, ki bodo pripomogli k čim bolj uspešni zajezitvi </w:t>
      </w:r>
      <w:proofErr w:type="spellStart"/>
      <w:r w:rsidRPr="006E0441">
        <w:rPr>
          <w:rStyle w:val="Neenpoudarek"/>
          <w:i w:val="0"/>
          <w:color w:val="auto"/>
        </w:rPr>
        <w:t>koronavirusa</w:t>
      </w:r>
      <w:proofErr w:type="spellEnd"/>
      <w:r w:rsidRPr="006E0441">
        <w:rPr>
          <w:rStyle w:val="Neenpoudarek"/>
          <w:i w:val="0"/>
          <w:color w:val="auto"/>
        </w:rPr>
        <w:t xml:space="preserve"> COVID – 19. Nekateri ukrepi se pričnejo izvajati pred potrditvijo spremembe OP 6.0, zato se jih vključi v prednostno naložbo 9.3.</w:t>
      </w:r>
    </w:p>
    <w:p w:rsidR="00D27C25" w:rsidRPr="006E0441" w:rsidRDefault="00D27C25" w:rsidP="006D193D">
      <w:pPr>
        <w:jc w:val="both"/>
        <w:rPr>
          <w:rStyle w:val="Neenpoudarek"/>
          <w:i w:val="0"/>
          <w:color w:val="auto"/>
        </w:rPr>
      </w:pPr>
    </w:p>
    <w:p w:rsidR="003714CC" w:rsidRPr="006E0441" w:rsidRDefault="003714CC" w:rsidP="006D193D">
      <w:pPr>
        <w:jc w:val="both"/>
        <w:rPr>
          <w:rStyle w:val="Neenpoudarek"/>
          <w:color w:val="auto"/>
        </w:rPr>
      </w:pPr>
    </w:p>
    <w:p w:rsidR="002F4282" w:rsidRPr="006E0441" w:rsidRDefault="002F4282">
      <w:pPr>
        <w:rPr>
          <w:rStyle w:val="Neenpoudarek"/>
          <w:color w:val="auto"/>
        </w:rPr>
        <w:sectPr w:rsidR="002F4282" w:rsidRPr="006E0441" w:rsidSect="00A27CAE">
          <w:pgSz w:w="11906" w:h="16838"/>
          <w:pgMar w:top="1417" w:right="1417" w:bottom="1417" w:left="1417" w:header="708" w:footer="708" w:gutter="0"/>
          <w:cols w:space="708"/>
          <w:docGrid w:linePitch="360"/>
        </w:sectPr>
      </w:pPr>
    </w:p>
    <w:p w:rsidR="000B7506" w:rsidRPr="006E0441" w:rsidRDefault="000B7506" w:rsidP="000B7506">
      <w:pPr>
        <w:autoSpaceDE w:val="0"/>
        <w:autoSpaceDN w:val="0"/>
        <w:adjustRightInd w:val="0"/>
        <w:spacing w:line="240" w:lineRule="auto"/>
        <w:jc w:val="both"/>
        <w:rPr>
          <w:b/>
        </w:rPr>
      </w:pPr>
      <w:r w:rsidRPr="006E0441">
        <w:rPr>
          <w:b/>
        </w:rPr>
        <w:lastRenderedPageBreak/>
        <w:t xml:space="preserve">Tabela 8: Pregled predloga prerazporeditev pravic porabe OP </w:t>
      </w:r>
    </w:p>
    <w:tbl>
      <w:tblPr>
        <w:tblW w:w="14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3"/>
        <w:gridCol w:w="8825"/>
        <w:gridCol w:w="563"/>
        <w:gridCol w:w="1156"/>
        <w:gridCol w:w="1143"/>
        <w:gridCol w:w="1143"/>
        <w:gridCol w:w="1286"/>
      </w:tblGrid>
      <w:tr w:rsidR="00786C41" w:rsidRPr="006E0441" w:rsidTr="009C510D">
        <w:trPr>
          <w:trHeight w:val="214"/>
          <w:jc w:val="center"/>
        </w:trPr>
        <w:tc>
          <w:tcPr>
            <w:tcW w:w="603" w:type="dxa"/>
            <w:shd w:val="clear" w:color="auto" w:fill="D9D9D9" w:themeFill="background1" w:themeFillShade="D9"/>
            <w:noWrap/>
            <w:tcMar>
              <w:top w:w="15" w:type="dxa"/>
              <w:left w:w="15" w:type="dxa"/>
              <w:bottom w:w="0" w:type="dxa"/>
              <w:right w:w="15" w:type="dxa"/>
            </w:tcMar>
            <w:vAlign w:val="bottom"/>
            <w:hideMark/>
          </w:tcPr>
          <w:p w:rsidR="002F4282" w:rsidRPr="006E0441" w:rsidRDefault="002F4282">
            <w:pPr>
              <w:rPr>
                <w:rFonts w:cstheme="minorHAnsi"/>
                <w:b/>
                <w:color w:val="000000"/>
                <w:sz w:val="15"/>
                <w:szCs w:val="15"/>
              </w:rPr>
            </w:pPr>
            <w:r w:rsidRPr="006E0441">
              <w:rPr>
                <w:rFonts w:cstheme="minorHAnsi"/>
                <w:b/>
                <w:color w:val="000000"/>
                <w:sz w:val="15"/>
                <w:szCs w:val="15"/>
              </w:rPr>
              <w:t>OS</w:t>
            </w:r>
          </w:p>
        </w:tc>
        <w:tc>
          <w:tcPr>
            <w:tcW w:w="8825" w:type="dxa"/>
            <w:shd w:val="clear" w:color="auto" w:fill="D9D9D9" w:themeFill="background1" w:themeFillShade="D9"/>
            <w:noWrap/>
            <w:tcMar>
              <w:top w:w="15" w:type="dxa"/>
              <w:left w:w="15" w:type="dxa"/>
              <w:bottom w:w="0" w:type="dxa"/>
              <w:right w:w="15" w:type="dxa"/>
            </w:tcMar>
            <w:vAlign w:val="bottom"/>
            <w:hideMark/>
          </w:tcPr>
          <w:p w:rsidR="002F4282" w:rsidRPr="006E0441" w:rsidRDefault="002F4282">
            <w:pPr>
              <w:rPr>
                <w:rFonts w:cstheme="minorHAnsi"/>
                <w:b/>
                <w:color w:val="000000"/>
                <w:sz w:val="15"/>
                <w:szCs w:val="15"/>
              </w:rPr>
            </w:pPr>
            <w:r w:rsidRPr="006E0441">
              <w:rPr>
                <w:rFonts w:cstheme="minorHAnsi"/>
                <w:b/>
                <w:color w:val="000000"/>
                <w:sz w:val="15"/>
                <w:szCs w:val="15"/>
              </w:rPr>
              <w:t>PN</w:t>
            </w:r>
          </w:p>
        </w:tc>
        <w:tc>
          <w:tcPr>
            <w:tcW w:w="563" w:type="dxa"/>
            <w:shd w:val="clear" w:color="auto" w:fill="D9D9D9" w:themeFill="background1" w:themeFillShade="D9"/>
            <w:noWrap/>
            <w:tcMar>
              <w:top w:w="15" w:type="dxa"/>
              <w:left w:w="15" w:type="dxa"/>
              <w:bottom w:w="0" w:type="dxa"/>
              <w:right w:w="15" w:type="dxa"/>
            </w:tcMar>
            <w:vAlign w:val="bottom"/>
            <w:hideMark/>
          </w:tcPr>
          <w:p w:rsidR="002F4282" w:rsidRPr="006E0441" w:rsidRDefault="002F4282">
            <w:pPr>
              <w:rPr>
                <w:rFonts w:cstheme="minorHAnsi"/>
                <w:b/>
                <w:color w:val="000000"/>
                <w:sz w:val="15"/>
                <w:szCs w:val="15"/>
              </w:rPr>
            </w:pPr>
            <w:r w:rsidRPr="006E0441">
              <w:rPr>
                <w:rFonts w:cstheme="minorHAnsi"/>
                <w:b/>
                <w:color w:val="000000"/>
                <w:sz w:val="15"/>
                <w:szCs w:val="15"/>
              </w:rPr>
              <w:t>Sklad</w:t>
            </w:r>
          </w:p>
        </w:tc>
        <w:tc>
          <w:tcPr>
            <w:tcW w:w="1156" w:type="dxa"/>
            <w:shd w:val="clear" w:color="auto" w:fill="D9D9D9" w:themeFill="background1" w:themeFillShade="D9"/>
            <w:noWrap/>
            <w:tcMar>
              <w:top w:w="15" w:type="dxa"/>
              <w:left w:w="15" w:type="dxa"/>
              <w:bottom w:w="0" w:type="dxa"/>
              <w:right w:w="15" w:type="dxa"/>
            </w:tcMar>
            <w:vAlign w:val="bottom"/>
            <w:hideMark/>
          </w:tcPr>
          <w:p w:rsidR="002F4282" w:rsidRPr="006E0441" w:rsidRDefault="002F4282">
            <w:pPr>
              <w:rPr>
                <w:rFonts w:cstheme="minorHAnsi"/>
                <w:b/>
                <w:color w:val="000000"/>
                <w:sz w:val="15"/>
                <w:szCs w:val="15"/>
              </w:rPr>
            </w:pPr>
            <w:r w:rsidRPr="006E0441">
              <w:rPr>
                <w:rFonts w:cstheme="minorHAnsi"/>
                <w:b/>
                <w:color w:val="000000"/>
                <w:sz w:val="15"/>
                <w:szCs w:val="15"/>
              </w:rPr>
              <w:t>Regija</w:t>
            </w:r>
          </w:p>
        </w:tc>
        <w:tc>
          <w:tcPr>
            <w:tcW w:w="1143" w:type="dxa"/>
            <w:shd w:val="clear" w:color="auto" w:fill="D9D9D9" w:themeFill="background1" w:themeFillShade="D9"/>
            <w:noWrap/>
            <w:tcMar>
              <w:top w:w="15" w:type="dxa"/>
              <w:left w:w="15" w:type="dxa"/>
              <w:bottom w:w="0" w:type="dxa"/>
              <w:right w:w="15" w:type="dxa"/>
            </w:tcMar>
            <w:vAlign w:val="bottom"/>
            <w:hideMark/>
          </w:tcPr>
          <w:p w:rsidR="002F4282" w:rsidRPr="006E0441" w:rsidRDefault="002F4282">
            <w:pPr>
              <w:rPr>
                <w:rFonts w:cstheme="minorHAnsi"/>
                <w:b/>
                <w:color w:val="000000"/>
                <w:sz w:val="15"/>
                <w:szCs w:val="15"/>
              </w:rPr>
            </w:pPr>
            <w:r w:rsidRPr="006E0441">
              <w:rPr>
                <w:rFonts w:cstheme="minorHAnsi"/>
                <w:b/>
                <w:color w:val="000000"/>
                <w:sz w:val="15"/>
                <w:szCs w:val="15"/>
              </w:rPr>
              <w:t>Pravice porabe EU del OP, 5.0</w:t>
            </w:r>
          </w:p>
        </w:tc>
        <w:tc>
          <w:tcPr>
            <w:tcW w:w="1143" w:type="dxa"/>
            <w:shd w:val="clear" w:color="auto" w:fill="D9D9D9" w:themeFill="background1" w:themeFillShade="D9"/>
            <w:noWrap/>
            <w:tcMar>
              <w:top w:w="15" w:type="dxa"/>
              <w:left w:w="15" w:type="dxa"/>
              <w:bottom w:w="0" w:type="dxa"/>
              <w:right w:w="15" w:type="dxa"/>
            </w:tcMar>
            <w:vAlign w:val="bottom"/>
            <w:hideMark/>
          </w:tcPr>
          <w:p w:rsidR="002F4282" w:rsidRPr="006E0441" w:rsidRDefault="002F4282">
            <w:pPr>
              <w:rPr>
                <w:rFonts w:cstheme="minorHAnsi"/>
                <w:b/>
                <w:color w:val="000000"/>
                <w:sz w:val="15"/>
                <w:szCs w:val="15"/>
              </w:rPr>
            </w:pPr>
            <w:r w:rsidRPr="006E0441">
              <w:rPr>
                <w:rFonts w:cstheme="minorHAnsi"/>
                <w:b/>
                <w:color w:val="000000"/>
                <w:sz w:val="15"/>
                <w:szCs w:val="15"/>
              </w:rPr>
              <w:t>predlagane spremembe</w:t>
            </w:r>
          </w:p>
        </w:tc>
        <w:tc>
          <w:tcPr>
            <w:tcW w:w="1286" w:type="dxa"/>
            <w:shd w:val="clear" w:color="auto" w:fill="D9D9D9" w:themeFill="background1" w:themeFillShade="D9"/>
            <w:noWrap/>
            <w:tcMar>
              <w:top w:w="15" w:type="dxa"/>
              <w:left w:w="15" w:type="dxa"/>
              <w:bottom w:w="0" w:type="dxa"/>
              <w:right w:w="15" w:type="dxa"/>
            </w:tcMar>
            <w:vAlign w:val="bottom"/>
            <w:hideMark/>
          </w:tcPr>
          <w:p w:rsidR="002F4282" w:rsidRPr="006E0441" w:rsidRDefault="00786C41">
            <w:pPr>
              <w:rPr>
                <w:rFonts w:cstheme="minorHAnsi"/>
                <w:b/>
                <w:color w:val="000000"/>
                <w:sz w:val="15"/>
                <w:szCs w:val="15"/>
              </w:rPr>
            </w:pPr>
            <w:r w:rsidRPr="006E0441">
              <w:rPr>
                <w:rFonts w:cstheme="minorHAnsi"/>
                <w:b/>
                <w:color w:val="000000"/>
                <w:sz w:val="15"/>
                <w:szCs w:val="15"/>
              </w:rPr>
              <w:t>Pravice porabe, EU</w:t>
            </w:r>
            <w:r w:rsidR="002F4282" w:rsidRPr="006E0441">
              <w:rPr>
                <w:rFonts w:cstheme="minorHAnsi"/>
                <w:b/>
                <w:color w:val="000000"/>
                <w:sz w:val="15"/>
                <w:szCs w:val="15"/>
              </w:rPr>
              <w:t xml:space="preserve"> del, OP 6.0</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2.</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 xml:space="preserve">2.1 Širitev širokopasovnih storitev in uvajanje </w:t>
            </w:r>
            <w:proofErr w:type="spellStart"/>
            <w:r w:rsidRPr="006E0441">
              <w:rPr>
                <w:rFonts w:cstheme="minorHAnsi"/>
                <w:color w:val="000000"/>
                <w:sz w:val="15"/>
                <w:szCs w:val="15"/>
              </w:rPr>
              <w:t>visokohitrostnih</w:t>
            </w:r>
            <w:proofErr w:type="spellEnd"/>
            <w:r w:rsidRPr="006E0441">
              <w:rPr>
                <w:rFonts w:cstheme="minorHAnsi"/>
                <w:color w:val="000000"/>
                <w:sz w:val="15"/>
                <w:szCs w:val="15"/>
              </w:rPr>
              <w:t xml:space="preserve"> omrežij ter podpora uporabi nastajajočih tehnologij in omrežij za digitalno ekonomijo</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ESRR</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Vzhod</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15.603.237,00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- 6.371.533,53 </w:t>
            </w: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9.231.703,47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2.</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 xml:space="preserve">2.1 Širitev širokopasovnih storitev in uvajanje </w:t>
            </w:r>
            <w:proofErr w:type="spellStart"/>
            <w:r w:rsidRPr="006E0441">
              <w:rPr>
                <w:rFonts w:cstheme="minorHAnsi"/>
                <w:color w:val="000000"/>
                <w:sz w:val="15"/>
                <w:szCs w:val="15"/>
              </w:rPr>
              <w:t>visokohitrostnih</w:t>
            </w:r>
            <w:proofErr w:type="spellEnd"/>
            <w:r w:rsidRPr="006E0441">
              <w:rPr>
                <w:rFonts w:cstheme="minorHAnsi"/>
                <w:color w:val="000000"/>
                <w:sz w:val="15"/>
                <w:szCs w:val="15"/>
              </w:rPr>
              <w:t xml:space="preserve"> omrežij ter podpora uporabi nastajajočih tehnologij in omrežij za digitalno ekonomijo</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ESRR</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Zahod</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8.885.745,00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- 3.628.466,47 </w:t>
            </w: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5.257.278,54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4.</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4.1 Spodbujanje energetske učinkovitosti, pametnega upravljanja z energijo in uporabo obnovljivih virov energije v javni infrastrukturi, vključno z javnimi stavbami, in stanovanjskem sektorju</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KS</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Celotna Slovenija</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148.960.000,00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- 24.354.819,55 </w:t>
            </w: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124.605.180,45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4.</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4.3 Razvoj in uporaba pametnih distribucijskih sistemov, ki delujejo pri nizkih in srednjih napetostih</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KS</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Celotna Slovenija</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19.897.800,00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- 8.356.150,29 </w:t>
            </w: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11.541.649,71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4.</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 xml:space="preserve">4.4 Spodbujanje </w:t>
            </w:r>
            <w:proofErr w:type="spellStart"/>
            <w:r w:rsidRPr="006E0441">
              <w:rPr>
                <w:rFonts w:cstheme="minorHAnsi"/>
                <w:color w:val="000000"/>
                <w:sz w:val="15"/>
                <w:szCs w:val="15"/>
              </w:rPr>
              <w:t>nizkoogljičnih</w:t>
            </w:r>
            <w:proofErr w:type="spellEnd"/>
            <w:r w:rsidRPr="006E0441">
              <w:rPr>
                <w:rFonts w:cstheme="minorHAnsi"/>
                <w:color w:val="000000"/>
                <w:sz w:val="15"/>
                <w:szCs w:val="15"/>
              </w:rPr>
              <w:t xml:space="preserve"> strategij za vse vrste območij, zlasti za urbana območja, vključno s spodbujanjem trajnostne </w:t>
            </w:r>
            <w:proofErr w:type="spellStart"/>
            <w:r w:rsidRPr="006E0441">
              <w:rPr>
                <w:rFonts w:cstheme="minorHAnsi"/>
                <w:color w:val="000000"/>
                <w:sz w:val="15"/>
                <w:szCs w:val="15"/>
              </w:rPr>
              <w:t>multimodalne</w:t>
            </w:r>
            <w:proofErr w:type="spellEnd"/>
            <w:r w:rsidRPr="006E0441">
              <w:rPr>
                <w:rFonts w:cstheme="minorHAnsi"/>
                <w:color w:val="000000"/>
                <w:sz w:val="15"/>
                <w:szCs w:val="15"/>
              </w:rPr>
              <w:t xml:space="preserve"> urbane mobilnosti in ustreznimi omilitvenimi prilagoditvenimi ukrepi</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KS</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Celotna Slovenija</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36.410.000,00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354.819,55 </w:t>
            </w: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36.764.819,55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4.</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 xml:space="preserve">4.4 Spodbujanje </w:t>
            </w:r>
            <w:proofErr w:type="spellStart"/>
            <w:r w:rsidRPr="006E0441">
              <w:rPr>
                <w:rFonts w:cstheme="minorHAnsi"/>
                <w:color w:val="000000"/>
                <w:sz w:val="15"/>
                <w:szCs w:val="15"/>
              </w:rPr>
              <w:t>nizkoogljičnih</w:t>
            </w:r>
            <w:proofErr w:type="spellEnd"/>
            <w:r w:rsidRPr="006E0441">
              <w:rPr>
                <w:rFonts w:cstheme="minorHAnsi"/>
                <w:color w:val="000000"/>
                <w:sz w:val="15"/>
                <w:szCs w:val="15"/>
              </w:rPr>
              <w:t xml:space="preserve"> strategij za vse vrste območij, zlasti za urbana območja, vključno s spodbujanjem trajnostne </w:t>
            </w:r>
            <w:proofErr w:type="spellStart"/>
            <w:r w:rsidRPr="006E0441">
              <w:rPr>
                <w:rFonts w:cstheme="minorHAnsi"/>
                <w:color w:val="000000"/>
                <w:sz w:val="15"/>
                <w:szCs w:val="15"/>
              </w:rPr>
              <w:t>multimodalne</w:t>
            </w:r>
            <w:proofErr w:type="spellEnd"/>
            <w:r w:rsidRPr="006E0441">
              <w:rPr>
                <w:rFonts w:cstheme="minorHAnsi"/>
                <w:color w:val="000000"/>
                <w:sz w:val="15"/>
                <w:szCs w:val="15"/>
              </w:rPr>
              <w:t xml:space="preserve"> urbane mobilnosti in ustreznimi omilitvenimi prilagoditvenimi ukrepi</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ESRR</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Vzhod</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26.099.288,00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6.371.533,53 </w:t>
            </w: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32.470.821,53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4.</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 xml:space="preserve">4.4 Spodbujanje </w:t>
            </w:r>
            <w:proofErr w:type="spellStart"/>
            <w:r w:rsidRPr="006E0441">
              <w:rPr>
                <w:rFonts w:cstheme="minorHAnsi"/>
                <w:color w:val="000000"/>
                <w:sz w:val="15"/>
                <w:szCs w:val="15"/>
              </w:rPr>
              <w:t>nizkoogljičnih</w:t>
            </w:r>
            <w:proofErr w:type="spellEnd"/>
            <w:r w:rsidRPr="006E0441">
              <w:rPr>
                <w:rFonts w:cstheme="minorHAnsi"/>
                <w:color w:val="000000"/>
                <w:sz w:val="15"/>
                <w:szCs w:val="15"/>
              </w:rPr>
              <w:t xml:space="preserve"> strategij za vse vrste območij, zlasti za urbana območja, vključno s spodbujanjem trajnostne </w:t>
            </w:r>
            <w:proofErr w:type="spellStart"/>
            <w:r w:rsidRPr="006E0441">
              <w:rPr>
                <w:rFonts w:cstheme="minorHAnsi"/>
                <w:color w:val="000000"/>
                <w:sz w:val="15"/>
                <w:szCs w:val="15"/>
              </w:rPr>
              <w:t>multimodalne</w:t>
            </w:r>
            <w:proofErr w:type="spellEnd"/>
            <w:r w:rsidRPr="006E0441">
              <w:rPr>
                <w:rFonts w:cstheme="minorHAnsi"/>
                <w:color w:val="000000"/>
                <w:sz w:val="15"/>
                <w:szCs w:val="15"/>
              </w:rPr>
              <w:t xml:space="preserve"> urbane mobilnosti in ustreznimi omilitvenimi prilagoditvenimi ukrepi</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ESRR</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Zahod</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17.932.912,00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3.628.466,47 </w:t>
            </w: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21.561.378,47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4.</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4.5 Projekti zdravstvene infrastrukture za CEPS</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KS</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Celotna Slovenija</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24.000.000,00 </w:t>
            </w: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24.000.000,00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5.</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5.1 Podpora naložbam za prilagajanje podnebnim spremembam, vključno s pristopi, ki temeljijo na ekosistemu</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KS</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Celotna Slovenija</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56.420.616,00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- 5.200.000,00 </w:t>
            </w: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51.220.616,00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6.</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6.1 Vlaganje v vodni sektor za izpolnitev zahtev pravnega reda Unije na področju okolja ter za zadovoljitev potreb po naložbah, ki jih opredelijo države članice in ki presegajo te zahteve</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KS</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Celotna Slovenija</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279.389.163,00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5.200.000,00 </w:t>
            </w: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284.589.163,00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7.</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 xml:space="preserve">7.1 Razvoj in obnova celostnih, visokokakovostnih in </w:t>
            </w:r>
            <w:proofErr w:type="spellStart"/>
            <w:r w:rsidRPr="006E0441">
              <w:rPr>
                <w:rFonts w:cstheme="minorHAnsi"/>
                <w:color w:val="000000"/>
                <w:sz w:val="15"/>
                <w:szCs w:val="15"/>
              </w:rPr>
              <w:t>interoperabilnih</w:t>
            </w:r>
            <w:proofErr w:type="spellEnd"/>
            <w:r w:rsidRPr="006E0441">
              <w:rPr>
                <w:rFonts w:cstheme="minorHAnsi"/>
                <w:color w:val="000000"/>
                <w:sz w:val="15"/>
                <w:szCs w:val="15"/>
              </w:rPr>
              <w:t xml:space="preserve"> železniških sistemov ter spodbujanje ukrepov za zmanjševanje hrupa</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KS</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Celotna Slovenija</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158.000.000,00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8.356.150,29 </w:t>
            </w: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166.356.150,29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15.</w:t>
            </w:r>
          </w:p>
        </w:tc>
        <w:tc>
          <w:tcPr>
            <w:tcW w:w="8825"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15</w:t>
            </w:r>
            <w:r w:rsidR="00786C41" w:rsidRPr="006E0441">
              <w:rPr>
                <w:rFonts w:cstheme="minorHAnsi"/>
                <w:color w:val="000000"/>
                <w:sz w:val="15"/>
                <w:szCs w:val="15"/>
              </w:rPr>
              <w:t>.1. Spodbujanje odprave posledic krize v okviru pandemije covid-19 in priprava zelenega, digitalnega in odpornega okrevanja gospodarstva</w:t>
            </w:r>
          </w:p>
        </w:tc>
        <w:tc>
          <w:tcPr>
            <w:tcW w:w="563"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ESRR</w:t>
            </w:r>
          </w:p>
        </w:tc>
        <w:tc>
          <w:tcPr>
            <w:tcW w:w="1156" w:type="dxa"/>
            <w:shd w:val="clear" w:color="auto" w:fill="auto"/>
            <w:noWrap/>
            <w:tcMar>
              <w:top w:w="15" w:type="dxa"/>
              <w:left w:w="15" w:type="dxa"/>
              <w:bottom w:w="0" w:type="dxa"/>
              <w:right w:w="15" w:type="dxa"/>
            </w:tcMar>
            <w:vAlign w:val="bottom"/>
            <w:hideMark/>
          </w:tcPr>
          <w:p w:rsidR="002F4282" w:rsidRPr="006E0441" w:rsidRDefault="002F4282">
            <w:pPr>
              <w:rPr>
                <w:rFonts w:cstheme="minorHAnsi"/>
                <w:color w:val="000000"/>
                <w:sz w:val="15"/>
                <w:szCs w:val="15"/>
              </w:rPr>
            </w:pPr>
            <w:r w:rsidRPr="006E0441">
              <w:rPr>
                <w:rFonts w:cstheme="minorHAnsi"/>
                <w:color w:val="000000"/>
                <w:sz w:val="15"/>
                <w:szCs w:val="15"/>
              </w:rPr>
              <w:t>Vzhod</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 - </w:t>
            </w:r>
          </w:p>
        </w:tc>
        <w:tc>
          <w:tcPr>
            <w:tcW w:w="1143"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p>
        </w:tc>
        <w:tc>
          <w:tcPr>
            <w:tcW w:w="1286" w:type="dxa"/>
            <w:shd w:val="clear" w:color="auto" w:fill="auto"/>
            <w:noWrap/>
            <w:tcMar>
              <w:top w:w="15" w:type="dxa"/>
              <w:left w:w="15" w:type="dxa"/>
              <w:bottom w:w="0" w:type="dxa"/>
              <w:right w:w="15" w:type="dxa"/>
            </w:tcMar>
            <w:vAlign w:val="bottom"/>
            <w:hideMark/>
          </w:tcPr>
          <w:p w:rsidR="002F4282" w:rsidRPr="006E0441" w:rsidRDefault="002F4282" w:rsidP="009C510D">
            <w:pPr>
              <w:jc w:val="right"/>
              <w:rPr>
                <w:rFonts w:cstheme="minorHAnsi"/>
                <w:color w:val="000000"/>
                <w:sz w:val="15"/>
                <w:szCs w:val="15"/>
              </w:rPr>
            </w:pPr>
            <w:r w:rsidRPr="006E0441">
              <w:rPr>
                <w:rFonts w:cstheme="minorHAnsi"/>
                <w:color w:val="000000"/>
                <w:sz w:val="15"/>
                <w:szCs w:val="15"/>
              </w:rPr>
              <w:t xml:space="preserve">138.330.000,00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 xml:space="preserve">15. </w:t>
            </w:r>
          </w:p>
        </w:tc>
        <w:tc>
          <w:tcPr>
            <w:tcW w:w="8825" w:type="dxa"/>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15.1. Spodbujanje odprave posledic krize v okviru pandemije covid-19 in priprava zelenega, digitalnega in odpornega okrevanja gospodarstva</w:t>
            </w:r>
          </w:p>
        </w:tc>
        <w:tc>
          <w:tcPr>
            <w:tcW w:w="563" w:type="dxa"/>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ESRR</w:t>
            </w:r>
          </w:p>
        </w:tc>
        <w:tc>
          <w:tcPr>
            <w:tcW w:w="1156" w:type="dxa"/>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Zahod</w:t>
            </w:r>
          </w:p>
        </w:tc>
        <w:tc>
          <w:tcPr>
            <w:tcW w:w="1143" w:type="dxa"/>
            <w:shd w:val="clear" w:color="auto" w:fill="auto"/>
            <w:noWrap/>
            <w:tcMar>
              <w:top w:w="15" w:type="dxa"/>
              <w:left w:w="15" w:type="dxa"/>
              <w:bottom w:w="0" w:type="dxa"/>
              <w:right w:w="15" w:type="dxa"/>
            </w:tcMar>
            <w:vAlign w:val="bottom"/>
            <w:hideMark/>
          </w:tcPr>
          <w:p w:rsidR="00786C41" w:rsidRPr="006E0441" w:rsidRDefault="00786C41" w:rsidP="009C510D">
            <w:pPr>
              <w:jc w:val="right"/>
              <w:rPr>
                <w:rFonts w:cstheme="minorHAnsi"/>
                <w:color w:val="000000"/>
                <w:sz w:val="15"/>
                <w:szCs w:val="15"/>
              </w:rPr>
            </w:pPr>
            <w:r w:rsidRPr="006E0441">
              <w:rPr>
                <w:rFonts w:cstheme="minorHAnsi"/>
                <w:color w:val="000000"/>
                <w:sz w:val="15"/>
                <w:szCs w:val="15"/>
              </w:rPr>
              <w:t xml:space="preserve"> - </w:t>
            </w:r>
          </w:p>
        </w:tc>
        <w:tc>
          <w:tcPr>
            <w:tcW w:w="1143" w:type="dxa"/>
            <w:shd w:val="clear" w:color="auto" w:fill="auto"/>
            <w:noWrap/>
            <w:tcMar>
              <w:top w:w="15" w:type="dxa"/>
              <w:left w:w="15" w:type="dxa"/>
              <w:bottom w:w="0" w:type="dxa"/>
              <w:right w:w="15" w:type="dxa"/>
            </w:tcMar>
            <w:vAlign w:val="bottom"/>
            <w:hideMark/>
          </w:tcPr>
          <w:p w:rsidR="00786C41" w:rsidRPr="006E0441" w:rsidRDefault="00786C41" w:rsidP="009C510D">
            <w:pPr>
              <w:jc w:val="right"/>
              <w:rPr>
                <w:rFonts w:cstheme="minorHAnsi"/>
                <w:color w:val="000000"/>
                <w:sz w:val="15"/>
                <w:szCs w:val="15"/>
              </w:rPr>
            </w:pPr>
          </w:p>
        </w:tc>
        <w:tc>
          <w:tcPr>
            <w:tcW w:w="1286" w:type="dxa"/>
            <w:shd w:val="clear" w:color="auto" w:fill="auto"/>
            <w:noWrap/>
            <w:tcMar>
              <w:top w:w="15" w:type="dxa"/>
              <w:left w:w="15" w:type="dxa"/>
              <w:bottom w:w="0" w:type="dxa"/>
              <w:right w:w="15" w:type="dxa"/>
            </w:tcMar>
            <w:vAlign w:val="bottom"/>
            <w:hideMark/>
          </w:tcPr>
          <w:p w:rsidR="00786C41" w:rsidRPr="006E0441" w:rsidRDefault="00786C41" w:rsidP="009C510D">
            <w:pPr>
              <w:jc w:val="right"/>
              <w:rPr>
                <w:rFonts w:cstheme="minorHAnsi"/>
                <w:color w:val="000000"/>
                <w:sz w:val="15"/>
                <w:szCs w:val="15"/>
              </w:rPr>
            </w:pPr>
            <w:r w:rsidRPr="006E0441">
              <w:rPr>
                <w:rFonts w:cstheme="minorHAnsi"/>
                <w:color w:val="000000"/>
                <w:sz w:val="15"/>
                <w:szCs w:val="15"/>
              </w:rPr>
              <w:t xml:space="preserve">122.670.000,00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15.</w:t>
            </w:r>
          </w:p>
        </w:tc>
        <w:tc>
          <w:tcPr>
            <w:tcW w:w="8825" w:type="dxa"/>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15.1. Spodbujanje odprave posledic krize v okviru pandemije covid-19 in priprava zelenega, digitalnega in odpornega okrevanja gospodarstva</w:t>
            </w:r>
          </w:p>
        </w:tc>
        <w:tc>
          <w:tcPr>
            <w:tcW w:w="563" w:type="dxa"/>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ESS</w:t>
            </w:r>
          </w:p>
        </w:tc>
        <w:tc>
          <w:tcPr>
            <w:tcW w:w="1156" w:type="dxa"/>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Vzhod</w:t>
            </w:r>
          </w:p>
        </w:tc>
        <w:tc>
          <w:tcPr>
            <w:tcW w:w="1143" w:type="dxa"/>
            <w:shd w:val="clear" w:color="auto" w:fill="auto"/>
            <w:noWrap/>
            <w:tcMar>
              <w:top w:w="15" w:type="dxa"/>
              <w:left w:w="15" w:type="dxa"/>
              <w:bottom w:w="0" w:type="dxa"/>
              <w:right w:w="15" w:type="dxa"/>
            </w:tcMar>
            <w:vAlign w:val="bottom"/>
            <w:hideMark/>
          </w:tcPr>
          <w:p w:rsidR="00786C41" w:rsidRPr="006E0441" w:rsidRDefault="00786C41" w:rsidP="009C510D">
            <w:pPr>
              <w:jc w:val="right"/>
              <w:rPr>
                <w:rFonts w:cstheme="minorHAnsi"/>
                <w:color w:val="000000"/>
                <w:sz w:val="15"/>
                <w:szCs w:val="15"/>
              </w:rPr>
            </w:pPr>
            <w:r w:rsidRPr="006E0441">
              <w:rPr>
                <w:rFonts w:cstheme="minorHAnsi"/>
                <w:color w:val="000000"/>
                <w:sz w:val="15"/>
                <w:szCs w:val="15"/>
              </w:rPr>
              <w:t xml:space="preserve"> - </w:t>
            </w:r>
          </w:p>
        </w:tc>
        <w:tc>
          <w:tcPr>
            <w:tcW w:w="1143" w:type="dxa"/>
            <w:shd w:val="clear" w:color="auto" w:fill="auto"/>
            <w:noWrap/>
            <w:tcMar>
              <w:top w:w="15" w:type="dxa"/>
              <w:left w:w="15" w:type="dxa"/>
              <w:bottom w:w="0" w:type="dxa"/>
              <w:right w:w="15" w:type="dxa"/>
            </w:tcMar>
            <w:vAlign w:val="bottom"/>
            <w:hideMark/>
          </w:tcPr>
          <w:p w:rsidR="00786C41" w:rsidRPr="006E0441" w:rsidRDefault="00786C41" w:rsidP="009C510D">
            <w:pPr>
              <w:jc w:val="right"/>
              <w:rPr>
                <w:rFonts w:cstheme="minorHAnsi"/>
                <w:color w:val="000000"/>
                <w:sz w:val="15"/>
                <w:szCs w:val="15"/>
              </w:rPr>
            </w:pPr>
          </w:p>
        </w:tc>
        <w:tc>
          <w:tcPr>
            <w:tcW w:w="1286" w:type="dxa"/>
            <w:shd w:val="clear" w:color="auto" w:fill="auto"/>
            <w:noWrap/>
            <w:tcMar>
              <w:top w:w="15" w:type="dxa"/>
              <w:left w:w="15" w:type="dxa"/>
              <w:bottom w:w="0" w:type="dxa"/>
              <w:right w:w="15" w:type="dxa"/>
            </w:tcMar>
            <w:vAlign w:val="bottom"/>
            <w:hideMark/>
          </w:tcPr>
          <w:p w:rsidR="00786C41" w:rsidRPr="006E0441" w:rsidRDefault="00786C41" w:rsidP="009C510D">
            <w:pPr>
              <w:jc w:val="right"/>
              <w:rPr>
                <w:rFonts w:cstheme="minorHAnsi"/>
                <w:color w:val="000000"/>
                <w:sz w:val="15"/>
                <w:szCs w:val="15"/>
              </w:rPr>
            </w:pPr>
            <w:r w:rsidRPr="006E0441">
              <w:rPr>
                <w:rFonts w:cstheme="minorHAnsi"/>
                <w:color w:val="000000"/>
                <w:sz w:val="15"/>
                <w:szCs w:val="15"/>
              </w:rPr>
              <w:t xml:space="preserve">31.550.000,00 </w:t>
            </w:r>
          </w:p>
        </w:tc>
      </w:tr>
      <w:tr w:rsidR="00786C41" w:rsidRPr="006E0441" w:rsidTr="009C510D">
        <w:trPr>
          <w:trHeight w:val="233"/>
          <w:jc w:val="center"/>
        </w:trPr>
        <w:tc>
          <w:tcPr>
            <w:tcW w:w="0" w:type="auto"/>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15.</w:t>
            </w:r>
          </w:p>
        </w:tc>
        <w:tc>
          <w:tcPr>
            <w:tcW w:w="8825" w:type="dxa"/>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15.1. Spodbujanje odprave posledic krize v okviru pandemije covid-19 in priprava zelenega, digitalnega in odpornega okrevanja gospodarstva</w:t>
            </w:r>
          </w:p>
        </w:tc>
        <w:tc>
          <w:tcPr>
            <w:tcW w:w="563" w:type="dxa"/>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ESS</w:t>
            </w:r>
          </w:p>
        </w:tc>
        <w:tc>
          <w:tcPr>
            <w:tcW w:w="1156" w:type="dxa"/>
            <w:shd w:val="clear" w:color="auto" w:fill="auto"/>
            <w:noWrap/>
            <w:tcMar>
              <w:top w:w="15" w:type="dxa"/>
              <w:left w:w="15" w:type="dxa"/>
              <w:bottom w:w="0" w:type="dxa"/>
              <w:right w:w="15" w:type="dxa"/>
            </w:tcMar>
            <w:vAlign w:val="bottom"/>
            <w:hideMark/>
          </w:tcPr>
          <w:p w:rsidR="00786C41" w:rsidRPr="006E0441" w:rsidRDefault="00786C41" w:rsidP="00786C41">
            <w:pPr>
              <w:rPr>
                <w:rFonts w:cstheme="minorHAnsi"/>
                <w:color w:val="000000"/>
                <w:sz w:val="15"/>
                <w:szCs w:val="15"/>
              </w:rPr>
            </w:pPr>
            <w:r w:rsidRPr="006E0441">
              <w:rPr>
                <w:rFonts w:cstheme="minorHAnsi"/>
                <w:color w:val="000000"/>
                <w:sz w:val="15"/>
                <w:szCs w:val="15"/>
              </w:rPr>
              <w:t>Zahod</w:t>
            </w:r>
          </w:p>
        </w:tc>
        <w:tc>
          <w:tcPr>
            <w:tcW w:w="1143" w:type="dxa"/>
            <w:shd w:val="clear" w:color="auto" w:fill="auto"/>
            <w:noWrap/>
            <w:tcMar>
              <w:top w:w="15" w:type="dxa"/>
              <w:left w:w="15" w:type="dxa"/>
              <w:bottom w:w="0" w:type="dxa"/>
              <w:right w:w="15" w:type="dxa"/>
            </w:tcMar>
            <w:vAlign w:val="bottom"/>
            <w:hideMark/>
          </w:tcPr>
          <w:p w:rsidR="00786C41" w:rsidRPr="006E0441" w:rsidRDefault="00786C41" w:rsidP="009C510D">
            <w:pPr>
              <w:jc w:val="right"/>
              <w:rPr>
                <w:rFonts w:cstheme="minorHAnsi"/>
                <w:color w:val="000000"/>
                <w:sz w:val="15"/>
                <w:szCs w:val="15"/>
              </w:rPr>
            </w:pPr>
            <w:r w:rsidRPr="006E0441">
              <w:rPr>
                <w:rFonts w:cstheme="minorHAnsi"/>
                <w:color w:val="000000"/>
                <w:sz w:val="15"/>
                <w:szCs w:val="15"/>
              </w:rPr>
              <w:t xml:space="preserve"> - </w:t>
            </w:r>
          </w:p>
        </w:tc>
        <w:tc>
          <w:tcPr>
            <w:tcW w:w="1143" w:type="dxa"/>
            <w:shd w:val="clear" w:color="auto" w:fill="auto"/>
            <w:noWrap/>
            <w:tcMar>
              <w:top w:w="15" w:type="dxa"/>
              <w:left w:w="15" w:type="dxa"/>
              <w:bottom w:w="0" w:type="dxa"/>
              <w:right w:w="15" w:type="dxa"/>
            </w:tcMar>
            <w:vAlign w:val="bottom"/>
            <w:hideMark/>
          </w:tcPr>
          <w:p w:rsidR="00786C41" w:rsidRPr="006E0441" w:rsidRDefault="00786C41" w:rsidP="009C510D">
            <w:pPr>
              <w:jc w:val="right"/>
              <w:rPr>
                <w:rFonts w:cstheme="minorHAnsi"/>
                <w:color w:val="000000"/>
                <w:sz w:val="15"/>
                <w:szCs w:val="15"/>
              </w:rPr>
            </w:pPr>
          </w:p>
        </w:tc>
        <w:tc>
          <w:tcPr>
            <w:tcW w:w="1286" w:type="dxa"/>
            <w:shd w:val="clear" w:color="auto" w:fill="auto"/>
            <w:noWrap/>
            <w:tcMar>
              <w:top w:w="15" w:type="dxa"/>
              <w:left w:w="15" w:type="dxa"/>
              <w:bottom w:w="0" w:type="dxa"/>
              <w:right w:w="15" w:type="dxa"/>
            </w:tcMar>
            <w:vAlign w:val="bottom"/>
            <w:hideMark/>
          </w:tcPr>
          <w:p w:rsidR="00786C41" w:rsidRPr="006E0441" w:rsidRDefault="00786C41" w:rsidP="009C510D">
            <w:pPr>
              <w:jc w:val="right"/>
              <w:rPr>
                <w:rFonts w:cstheme="minorHAnsi"/>
                <w:color w:val="000000"/>
                <w:sz w:val="15"/>
                <w:szCs w:val="15"/>
              </w:rPr>
            </w:pPr>
            <w:r w:rsidRPr="006E0441">
              <w:rPr>
                <w:rFonts w:cstheme="minorHAnsi"/>
                <w:color w:val="000000"/>
                <w:sz w:val="15"/>
                <w:szCs w:val="15"/>
              </w:rPr>
              <w:t xml:space="preserve">31.550.000,00 </w:t>
            </w:r>
          </w:p>
        </w:tc>
      </w:tr>
    </w:tbl>
    <w:p w:rsidR="000B7506" w:rsidRPr="006E0441" w:rsidRDefault="000B7506" w:rsidP="000B7506">
      <w:pPr>
        <w:rPr>
          <w:i/>
          <w:color w:val="FF0000"/>
        </w:rPr>
      </w:pPr>
    </w:p>
    <w:p w:rsidR="002F4282" w:rsidRPr="006E0441" w:rsidRDefault="002F4282" w:rsidP="000B7506">
      <w:pPr>
        <w:jc w:val="both"/>
        <w:sectPr w:rsidR="002F4282" w:rsidRPr="006E0441" w:rsidSect="009C510D">
          <w:pgSz w:w="16838" w:h="11906" w:orient="landscape"/>
          <w:pgMar w:top="1417" w:right="1417" w:bottom="1417" w:left="1417" w:header="708" w:footer="708" w:gutter="0"/>
          <w:cols w:space="708"/>
          <w:docGrid w:linePitch="360"/>
        </w:sectPr>
      </w:pPr>
    </w:p>
    <w:p w:rsidR="00216219" w:rsidRPr="006E0441" w:rsidRDefault="00216219" w:rsidP="000B7506">
      <w:pPr>
        <w:jc w:val="both"/>
        <w:rPr>
          <w:rFonts w:asciiTheme="majorHAnsi" w:eastAsiaTheme="majorEastAsia" w:hAnsiTheme="majorHAnsi" w:cstheme="majorBidi"/>
          <w:b/>
          <w:caps/>
          <w:sz w:val="28"/>
          <w:szCs w:val="28"/>
        </w:rPr>
      </w:pPr>
    </w:p>
    <w:p w:rsidR="00101D7A" w:rsidRPr="006E0441" w:rsidRDefault="000C5EAC" w:rsidP="00216219">
      <w:pPr>
        <w:pStyle w:val="Naslov1"/>
        <w:numPr>
          <w:ilvl w:val="0"/>
          <w:numId w:val="16"/>
        </w:numPr>
        <w:ind w:hanging="720"/>
        <w:rPr>
          <w:caps w:val="0"/>
        </w:rPr>
      </w:pPr>
      <w:bookmarkStart w:id="11" w:name="_Toc50273553"/>
      <w:r w:rsidRPr="006E0441">
        <w:rPr>
          <w:caps w:val="0"/>
        </w:rPr>
        <w:t xml:space="preserve">Prilagoditev kazalnikov </w:t>
      </w:r>
      <w:r w:rsidR="00216219" w:rsidRPr="006E0441">
        <w:rPr>
          <w:caps w:val="0"/>
        </w:rPr>
        <w:t>OP 14-20</w:t>
      </w:r>
      <w:bookmarkEnd w:id="11"/>
      <w:r w:rsidR="00216219" w:rsidRPr="006E0441">
        <w:rPr>
          <w:caps w:val="0"/>
        </w:rPr>
        <w:t xml:space="preserve"> </w:t>
      </w:r>
    </w:p>
    <w:p w:rsidR="00101D7A" w:rsidRPr="006E0441" w:rsidRDefault="00101D7A" w:rsidP="00101D7A">
      <w:pPr>
        <w:pStyle w:val="Naslov4"/>
      </w:pPr>
    </w:p>
    <w:p w:rsidR="00937F81" w:rsidRPr="006E0441" w:rsidRDefault="00937F81" w:rsidP="00937F81">
      <w:pPr>
        <w:rPr>
          <w:b/>
          <w:noProof/>
        </w:rPr>
      </w:pPr>
      <w:r w:rsidRPr="006E0441">
        <w:rPr>
          <w:b/>
          <w:noProof/>
        </w:rPr>
        <w:t>Okvir uspešnosti po skladih in kategorijah regij – predlog spremembe</w:t>
      </w:r>
    </w:p>
    <w:p w:rsidR="00937F81" w:rsidRPr="006E0441" w:rsidRDefault="006169B6" w:rsidP="00937F81">
      <w:pPr>
        <w:pStyle w:val="Naslov4"/>
        <w:rPr>
          <w:b/>
        </w:rPr>
      </w:pPr>
      <w:r w:rsidRPr="006E0441">
        <w:rPr>
          <w:b/>
        </w:rPr>
        <w:t>PREDNOSTNA OS 2</w:t>
      </w:r>
    </w:p>
    <w:p w:rsidR="004C64D6" w:rsidRPr="006E0441" w:rsidRDefault="004C64D6" w:rsidP="004C64D6"/>
    <w:p w:rsidR="006169B6" w:rsidRPr="006E0441" w:rsidRDefault="006169B6" w:rsidP="009C510D">
      <w:pPr>
        <w:jc w:val="both"/>
      </w:pPr>
      <w:r w:rsidRPr="006E0441">
        <w:t xml:space="preserve">2.1 Širitev širokopasovnih storitev in uvajanje </w:t>
      </w:r>
      <w:proofErr w:type="spellStart"/>
      <w:r w:rsidRPr="006E0441">
        <w:t>visokohitrostnih</w:t>
      </w:r>
      <w:proofErr w:type="spellEnd"/>
      <w:r w:rsidRPr="006E0441">
        <w:t xml:space="preserve"> omrežij ter podpora uporabi nastajajočih tehnologij in omrežij za digitalno ekonomijo</w:t>
      </w:r>
    </w:p>
    <w:p w:rsidR="006169B6" w:rsidRPr="006E0441" w:rsidRDefault="006169B6">
      <w:pPr>
        <w:jc w:val="both"/>
      </w:pPr>
      <w:r w:rsidRPr="006E0441">
        <w:t>Na področju PN 2.1</w:t>
      </w:r>
      <w:r w:rsidR="00FC75BF" w:rsidRPr="006E0441">
        <w:t xml:space="preserve"> </w:t>
      </w:r>
      <w:r w:rsidR="00A50013" w:rsidRPr="006E0441">
        <w:t>se predlaga</w:t>
      </w:r>
      <w:r w:rsidRPr="006E0441">
        <w:t xml:space="preserve">, da se prerazporedi </w:t>
      </w:r>
      <w:r w:rsidR="00CA730A" w:rsidRPr="006E0441">
        <w:t xml:space="preserve">41 </w:t>
      </w:r>
      <w:r w:rsidRPr="006E0441">
        <w:t xml:space="preserve">% pravic porabe in sicer v predlagani višini </w:t>
      </w:r>
      <w:r w:rsidR="00CA730A" w:rsidRPr="006E0441">
        <w:t>6.371.534</w:t>
      </w:r>
      <w:r w:rsidRPr="006E0441">
        <w:t xml:space="preserve"> na ESRR vzhod in </w:t>
      </w:r>
      <w:r w:rsidR="00CA730A" w:rsidRPr="006E0441">
        <w:t>3.628.466</w:t>
      </w:r>
      <w:r w:rsidRPr="006E0441">
        <w:t xml:space="preserve"> EUR na ESRR zahod. </w:t>
      </w:r>
      <w:r w:rsidR="00A50013" w:rsidRPr="006E0441">
        <w:t>I</w:t>
      </w:r>
      <w:r w:rsidR="00CC44BA" w:rsidRPr="006E0441">
        <w:t>z</w:t>
      </w:r>
      <w:r w:rsidR="00A50013" w:rsidRPr="006E0441">
        <w:t xml:space="preserve"> tega razloga se tudi:</w:t>
      </w:r>
    </w:p>
    <w:p w:rsidR="00A50013" w:rsidRPr="006E0441" w:rsidRDefault="00A50013">
      <w:pPr>
        <w:pStyle w:val="Odstavekseznama"/>
        <w:numPr>
          <w:ilvl w:val="0"/>
          <w:numId w:val="11"/>
        </w:numPr>
        <w:jc w:val="both"/>
      </w:pPr>
      <w:r w:rsidRPr="006E0441">
        <w:t>Sorazme</w:t>
      </w:r>
      <w:r w:rsidR="00004E94" w:rsidRPr="006E0441">
        <w:t>r</w:t>
      </w:r>
      <w:r w:rsidRPr="006E0441">
        <w:t>no zniža kazalnik okvira uspešnosti konec leta 2023 in sicer 2.2 -Število novo priključenih gospodinjstev na novo zgrajenih širokopasovnih omrežjih z najmanj 100Mb/s</w:t>
      </w:r>
    </w:p>
    <w:p w:rsidR="00A50013" w:rsidRPr="006E0441" w:rsidRDefault="00A50013">
      <w:pPr>
        <w:pStyle w:val="Odstavekseznama"/>
        <w:numPr>
          <w:ilvl w:val="0"/>
          <w:numId w:val="11"/>
        </w:numPr>
        <w:jc w:val="both"/>
      </w:pPr>
      <w:r w:rsidRPr="006E0441">
        <w:t>Zniža finančni kazalnik.</w:t>
      </w:r>
    </w:p>
    <w:p w:rsidR="00937F81" w:rsidRPr="006E0441" w:rsidRDefault="00937F81" w:rsidP="00937F81">
      <w:pPr>
        <w:rPr>
          <w:b/>
          <w:noProof/>
        </w:rPr>
      </w:pPr>
      <w:r w:rsidRPr="006E0441">
        <w:rPr>
          <w:b/>
          <w:noProof/>
        </w:rPr>
        <w:t xml:space="preserve">OP 5.0 </w:t>
      </w:r>
      <w:r w:rsidR="00247554" w:rsidRPr="006E0441">
        <w:rPr>
          <w:b/>
          <w:noProof/>
        </w:rPr>
        <w:t>–</w:t>
      </w:r>
      <w:r w:rsidRPr="006E0441">
        <w:rPr>
          <w:b/>
          <w:noProof/>
        </w:rPr>
        <w:t xml:space="preserve"> stanje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649"/>
        <w:gridCol w:w="573"/>
        <w:gridCol w:w="947"/>
        <w:gridCol w:w="1661"/>
        <w:gridCol w:w="998"/>
        <w:gridCol w:w="356"/>
        <w:gridCol w:w="293"/>
        <w:gridCol w:w="855"/>
        <w:gridCol w:w="394"/>
        <w:gridCol w:w="324"/>
        <w:gridCol w:w="1012"/>
      </w:tblGrid>
      <w:tr w:rsidR="00247554" w:rsidRPr="006E0441" w:rsidTr="00472D69">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554" w:rsidRPr="006E0441" w:rsidRDefault="00247554" w:rsidP="00472D69">
            <w:pPr>
              <w:spacing w:after="0"/>
              <w:jc w:val="center"/>
              <w:rPr>
                <w:b/>
                <w:sz w:val="16"/>
                <w:szCs w:val="16"/>
              </w:rPr>
            </w:pPr>
            <w:r w:rsidRPr="006E0441">
              <w:rPr>
                <w:b/>
                <w:noProof/>
                <w:sz w:val="16"/>
                <w:szCs w:val="16"/>
              </w:rPr>
              <w:t>Prednostna os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554" w:rsidRPr="006E0441" w:rsidRDefault="00247554" w:rsidP="00472D69">
            <w:pPr>
              <w:spacing w:after="0"/>
              <w:jc w:val="center"/>
              <w:rPr>
                <w:b/>
                <w:color w:val="FF0000"/>
                <w:sz w:val="16"/>
                <w:szCs w:val="16"/>
              </w:rPr>
            </w:pPr>
            <w:r w:rsidRPr="006E0441">
              <w:rPr>
                <w:b/>
                <w:noProof/>
                <w:sz w:val="16"/>
                <w:szCs w:val="16"/>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554" w:rsidRPr="006E0441" w:rsidRDefault="00247554" w:rsidP="00472D69">
            <w:pPr>
              <w:spacing w:after="0"/>
              <w:jc w:val="center"/>
              <w:rPr>
                <w:b/>
                <w:color w:val="FF0000"/>
                <w:sz w:val="16"/>
                <w:szCs w:val="16"/>
              </w:rPr>
            </w:pPr>
            <w:r w:rsidRPr="006E0441">
              <w:rPr>
                <w:b/>
                <w:noProof/>
                <w:sz w:val="16"/>
                <w:szCs w:val="16"/>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554" w:rsidRPr="006E0441" w:rsidRDefault="00247554" w:rsidP="00472D69">
            <w:pPr>
              <w:spacing w:after="0"/>
              <w:jc w:val="center"/>
              <w:rPr>
                <w:b/>
                <w:color w:val="FF0000"/>
                <w:sz w:val="16"/>
                <w:szCs w:val="16"/>
              </w:rPr>
            </w:pPr>
            <w:r w:rsidRPr="006E0441">
              <w:rPr>
                <w:b/>
                <w:noProof/>
                <w:sz w:val="16"/>
                <w:szCs w:val="16"/>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554" w:rsidRPr="006E0441" w:rsidRDefault="00247554" w:rsidP="00472D69">
            <w:pPr>
              <w:spacing w:after="0"/>
              <w:jc w:val="center"/>
              <w:rPr>
                <w:b/>
                <w:color w:val="FF0000"/>
                <w:sz w:val="16"/>
                <w:szCs w:val="16"/>
              </w:rPr>
            </w:pPr>
            <w:r w:rsidRPr="006E0441">
              <w:rPr>
                <w:b/>
                <w:noProof/>
                <w:sz w:val="16"/>
                <w:szCs w:val="16"/>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247554" w:rsidRPr="006E0441" w:rsidRDefault="00247554" w:rsidP="00472D69">
            <w:pPr>
              <w:spacing w:after="0"/>
              <w:jc w:val="center"/>
              <w:rPr>
                <w:b/>
                <w:color w:val="FF0000"/>
                <w:sz w:val="16"/>
                <w:szCs w:val="16"/>
              </w:rPr>
            </w:pPr>
            <w:r w:rsidRPr="006E0441">
              <w:rPr>
                <w:b/>
                <w:noProof/>
                <w:sz w:val="16"/>
                <w:szCs w:val="16"/>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247554" w:rsidRPr="006E0441" w:rsidRDefault="00247554" w:rsidP="00472D69">
            <w:pPr>
              <w:spacing w:after="0"/>
              <w:jc w:val="center"/>
              <w:rPr>
                <w:b/>
                <w:color w:val="FF0000"/>
                <w:sz w:val="16"/>
                <w:szCs w:val="16"/>
              </w:rPr>
            </w:pPr>
            <w:r w:rsidRPr="006E0441">
              <w:rPr>
                <w:b/>
                <w:noProof/>
                <w:sz w:val="16"/>
                <w:szCs w:val="16"/>
              </w:rPr>
              <w:t>Končna ciljna vrednost (za leto 2023)</w:t>
            </w:r>
          </w:p>
        </w:tc>
      </w:tr>
      <w:tr w:rsidR="00247554" w:rsidRPr="006E0441" w:rsidTr="00472D69">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7554" w:rsidRPr="006E0441" w:rsidRDefault="00247554" w:rsidP="00472D69">
            <w:pPr>
              <w:spacing w:after="0"/>
              <w:rPr>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7554" w:rsidRPr="006E0441" w:rsidRDefault="00247554" w:rsidP="00472D69">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7554" w:rsidRPr="006E0441" w:rsidRDefault="00247554" w:rsidP="00472D69">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7554" w:rsidRPr="006E0441" w:rsidRDefault="00247554" w:rsidP="00472D69">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7554" w:rsidRPr="006E0441" w:rsidRDefault="00247554" w:rsidP="00472D69">
            <w:pPr>
              <w:spacing w:after="0"/>
              <w:rPr>
                <w:b/>
                <w:color w:val="FF0000"/>
                <w:sz w:val="16"/>
                <w:szCs w:val="16"/>
              </w:rPr>
            </w:pPr>
          </w:p>
        </w:tc>
        <w:tc>
          <w:tcPr>
            <w:tcW w:w="0" w:type="auto"/>
            <w:tcBorders>
              <w:left w:val="single" w:sz="4" w:space="0" w:color="auto"/>
              <w:bottom w:val="single" w:sz="4" w:space="0" w:color="auto"/>
              <w:right w:val="single" w:sz="4" w:space="0" w:color="auto"/>
            </w:tcBorders>
            <w:shd w:val="clear" w:color="auto" w:fill="auto"/>
          </w:tcPr>
          <w:p w:rsidR="00247554" w:rsidRPr="006E0441" w:rsidRDefault="00247554" w:rsidP="00472D69">
            <w:pPr>
              <w:spacing w:after="0"/>
              <w:jc w:val="center"/>
              <w:rPr>
                <w:b/>
                <w:sz w:val="16"/>
                <w:szCs w:val="16"/>
              </w:rPr>
            </w:pPr>
            <w:r w:rsidRPr="006E0441">
              <w:rPr>
                <w:b/>
                <w:sz w:val="16"/>
                <w:szCs w:val="16"/>
              </w:rPr>
              <w:t>M</w:t>
            </w:r>
          </w:p>
        </w:tc>
        <w:tc>
          <w:tcPr>
            <w:tcW w:w="0" w:type="auto"/>
            <w:tcBorders>
              <w:left w:val="single" w:sz="4" w:space="0" w:color="auto"/>
              <w:bottom w:val="single" w:sz="4" w:space="0" w:color="auto"/>
              <w:right w:val="single" w:sz="4" w:space="0" w:color="auto"/>
            </w:tcBorders>
            <w:shd w:val="clear" w:color="auto" w:fill="auto"/>
          </w:tcPr>
          <w:p w:rsidR="00247554" w:rsidRPr="006E0441" w:rsidRDefault="00247554" w:rsidP="00472D69">
            <w:pPr>
              <w:spacing w:after="0"/>
              <w:jc w:val="center"/>
              <w:rPr>
                <w:b/>
                <w:sz w:val="16"/>
                <w:szCs w:val="16"/>
              </w:rPr>
            </w:pPr>
            <w:r w:rsidRPr="006E0441">
              <w:rPr>
                <w:b/>
                <w:sz w:val="16"/>
                <w:szCs w:val="16"/>
              </w:rPr>
              <w:t>Ž</w:t>
            </w:r>
          </w:p>
        </w:tc>
        <w:tc>
          <w:tcPr>
            <w:tcW w:w="0" w:type="auto"/>
            <w:tcBorders>
              <w:left w:val="single" w:sz="4" w:space="0" w:color="auto"/>
              <w:bottom w:val="single" w:sz="4" w:space="0" w:color="auto"/>
              <w:right w:val="single" w:sz="4" w:space="0" w:color="auto"/>
            </w:tcBorders>
            <w:shd w:val="clear" w:color="auto" w:fill="auto"/>
          </w:tcPr>
          <w:p w:rsidR="00247554" w:rsidRPr="006E0441" w:rsidRDefault="00247554" w:rsidP="00472D69">
            <w:pPr>
              <w:spacing w:after="0"/>
              <w:jc w:val="center"/>
              <w:rPr>
                <w:b/>
                <w:sz w:val="16"/>
                <w:szCs w:val="16"/>
              </w:rPr>
            </w:pPr>
            <w:r w:rsidRPr="006E0441">
              <w:rPr>
                <w:b/>
                <w:noProof/>
                <w:sz w:val="16"/>
                <w:szCs w:val="16"/>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47554" w:rsidRPr="006E0441" w:rsidRDefault="00247554" w:rsidP="00472D69">
            <w:pPr>
              <w:spacing w:after="0"/>
              <w:jc w:val="center"/>
              <w:rPr>
                <w:b/>
                <w:sz w:val="16"/>
                <w:szCs w:val="16"/>
              </w:rPr>
            </w:pPr>
            <w:r w:rsidRPr="006E0441">
              <w:rPr>
                <w:b/>
                <w:sz w:val="16"/>
                <w:szCs w:val="16"/>
              </w:rPr>
              <w:t>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47554" w:rsidRPr="006E0441" w:rsidRDefault="00247554" w:rsidP="00472D69">
            <w:pPr>
              <w:spacing w:after="0"/>
              <w:jc w:val="center"/>
              <w:rPr>
                <w:b/>
                <w:sz w:val="16"/>
                <w:szCs w:val="16"/>
              </w:rPr>
            </w:pPr>
            <w:r w:rsidRPr="006E0441">
              <w:rPr>
                <w:b/>
                <w:sz w:val="16"/>
                <w:szCs w:val="16"/>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47554" w:rsidRPr="006E0441" w:rsidRDefault="00247554" w:rsidP="00472D69">
            <w:pPr>
              <w:spacing w:after="0"/>
              <w:jc w:val="center"/>
              <w:rPr>
                <w:b/>
                <w:sz w:val="16"/>
                <w:szCs w:val="16"/>
              </w:rPr>
            </w:pPr>
            <w:r w:rsidRPr="006E0441">
              <w:rPr>
                <w:b/>
                <w:noProof/>
                <w:sz w:val="16"/>
                <w:szCs w:val="16"/>
              </w:rPr>
              <w:t>Skupaj</w:t>
            </w:r>
          </w:p>
        </w:tc>
      </w:tr>
      <w:tr w:rsidR="00247554" w:rsidRPr="006E0441" w:rsidTr="00472D69">
        <w:trPr>
          <w:trHeight w:val="291"/>
        </w:trPr>
        <w:tc>
          <w:tcPr>
            <w:tcW w:w="0" w:type="auto"/>
            <w:tcBorders>
              <w:top w:val="single" w:sz="4" w:space="0" w:color="auto"/>
              <w:left w:val="single" w:sz="4" w:space="0" w:color="auto"/>
              <w:bottom w:val="single" w:sz="4" w:space="0" w:color="auto"/>
              <w:right w:val="single" w:sz="4" w:space="0" w:color="auto"/>
            </w:tcBorders>
            <w:hideMark/>
          </w:tcPr>
          <w:p w:rsidR="00247554" w:rsidRPr="006E0441" w:rsidRDefault="00247554" w:rsidP="00247554">
            <w:pPr>
              <w:suppressAutoHyphens/>
              <w:spacing w:after="0"/>
              <w:rPr>
                <w:sz w:val="12"/>
                <w:szCs w:val="12"/>
              </w:rPr>
            </w:pPr>
            <w:r w:rsidRPr="006E0441">
              <w:rPr>
                <w:noProof/>
                <w:color w:val="000000"/>
                <w:sz w:val="12"/>
                <w:szCs w:val="12"/>
              </w:rPr>
              <w:t>02 - 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247554" w:rsidRPr="006E0441" w:rsidRDefault="00247554" w:rsidP="00247554">
            <w:pPr>
              <w:suppressAutoHyphens/>
              <w:spacing w:after="0"/>
              <w:rPr>
                <w:noProof/>
                <w:color w:val="000000"/>
                <w:sz w:val="12"/>
                <w:szCs w:val="12"/>
              </w:rPr>
            </w:pPr>
            <w:r w:rsidRPr="006E0441">
              <w:rPr>
                <w:noProof/>
                <w:color w:val="000000"/>
                <w:sz w:val="12"/>
                <w:szCs w:val="12"/>
              </w:rPr>
              <w:t>ESRR</w:t>
            </w:r>
          </w:p>
        </w:tc>
        <w:tc>
          <w:tcPr>
            <w:tcW w:w="0" w:type="auto"/>
            <w:tcBorders>
              <w:top w:val="single" w:sz="4" w:space="0" w:color="auto"/>
              <w:left w:val="single" w:sz="4" w:space="0" w:color="auto"/>
              <w:bottom w:val="single" w:sz="4" w:space="0" w:color="auto"/>
              <w:right w:val="single" w:sz="4" w:space="0" w:color="auto"/>
            </w:tcBorders>
            <w:hideMark/>
          </w:tcPr>
          <w:p w:rsidR="00247554" w:rsidRPr="006E0441" w:rsidRDefault="00247554" w:rsidP="00247554">
            <w:pPr>
              <w:spacing w:after="0"/>
              <w:rPr>
                <w:sz w:val="12"/>
                <w:szCs w:val="12"/>
              </w:rPr>
            </w:pPr>
            <w:r w:rsidRPr="006E0441">
              <w:rPr>
                <w:noProof/>
                <w:sz w:val="12"/>
                <w:szCs w:val="12"/>
              </w:rPr>
              <w:t>Manj razvite</w:t>
            </w:r>
          </w:p>
        </w:tc>
        <w:tc>
          <w:tcPr>
            <w:tcW w:w="0" w:type="auto"/>
            <w:tcBorders>
              <w:top w:val="single" w:sz="4" w:space="0" w:color="auto"/>
              <w:left w:val="single" w:sz="4" w:space="0" w:color="auto"/>
              <w:bottom w:val="single" w:sz="4" w:space="0" w:color="auto"/>
              <w:right w:val="single" w:sz="4" w:space="0" w:color="auto"/>
            </w:tcBorders>
            <w:hideMark/>
          </w:tcPr>
          <w:p w:rsidR="00247554" w:rsidRPr="006E0441" w:rsidRDefault="00247554" w:rsidP="00247554">
            <w:pPr>
              <w:suppressAutoHyphens/>
              <w:spacing w:after="0"/>
              <w:rPr>
                <w:noProof/>
                <w:color w:val="000000"/>
                <w:sz w:val="12"/>
                <w:szCs w:val="12"/>
              </w:rPr>
            </w:pPr>
            <w:r w:rsidRPr="006E0441">
              <w:rPr>
                <w:noProof/>
                <w:color w:val="000000"/>
                <w:sz w:val="12"/>
                <w:szCs w:val="12"/>
              </w:rPr>
              <w:t>2.2</w:t>
            </w:r>
            <w:r w:rsidRPr="006E0441">
              <w:rPr>
                <w:color w:val="000000"/>
                <w:sz w:val="12"/>
                <w:szCs w:val="12"/>
              </w:rPr>
              <w:t xml:space="preserve"> -</w:t>
            </w:r>
            <w:r w:rsidRPr="006E0441">
              <w:rPr>
                <w:noProof/>
                <w:color w:val="000000"/>
                <w:sz w:val="12"/>
                <w:szCs w:val="12"/>
              </w:rPr>
              <w:t>Število novo priključenih gospodinjstev na novo zgrajenih širokopasovnih omrežjih z najmanj 100Mb/s</w:t>
            </w:r>
          </w:p>
        </w:tc>
        <w:tc>
          <w:tcPr>
            <w:tcW w:w="0" w:type="auto"/>
            <w:tcBorders>
              <w:top w:val="single" w:sz="4" w:space="0" w:color="auto"/>
              <w:left w:val="single" w:sz="4" w:space="0" w:color="auto"/>
              <w:bottom w:val="single" w:sz="4" w:space="0" w:color="auto"/>
              <w:right w:val="single" w:sz="4" w:space="0" w:color="auto"/>
            </w:tcBorders>
            <w:hideMark/>
          </w:tcPr>
          <w:p w:rsidR="00247554" w:rsidRPr="006E0441" w:rsidRDefault="00247554" w:rsidP="00247554">
            <w:pPr>
              <w:suppressAutoHyphens/>
              <w:spacing w:after="0"/>
              <w:rPr>
                <w:noProof/>
                <w:color w:val="000000"/>
                <w:sz w:val="12"/>
                <w:szCs w:val="12"/>
              </w:rPr>
            </w:pPr>
            <w:r w:rsidRPr="006E0441">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247554" w:rsidRPr="006E0441" w:rsidRDefault="00247554" w:rsidP="00247554">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jc w:val="right"/>
              <w:rPr>
                <w:sz w:val="12"/>
                <w:szCs w:val="12"/>
              </w:rPr>
            </w:pPr>
            <w:r w:rsidRPr="006E0441">
              <w:rPr>
                <w:noProof/>
                <w:sz w:val="12"/>
                <w:szCs w:val="12"/>
              </w:rPr>
              <w:t>476</w:t>
            </w:r>
          </w:p>
        </w:tc>
        <w:tc>
          <w:tcPr>
            <w:tcW w:w="0" w:type="auto"/>
            <w:tcBorders>
              <w:top w:val="single" w:sz="4" w:space="0" w:color="auto"/>
              <w:left w:val="single" w:sz="4" w:space="0" w:color="auto"/>
              <w:bottom w:val="single" w:sz="4" w:space="0" w:color="auto"/>
              <w:right w:val="single" w:sz="4" w:space="0" w:color="auto"/>
            </w:tcBorders>
            <w:hideMark/>
          </w:tcPr>
          <w:p w:rsidR="00247554" w:rsidRPr="006E0441" w:rsidRDefault="00247554" w:rsidP="00247554">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247554" w:rsidRPr="006E0441" w:rsidRDefault="00247554" w:rsidP="00247554">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247554" w:rsidRPr="006E0441" w:rsidRDefault="00247554" w:rsidP="00247554">
            <w:pPr>
              <w:suppressAutoHyphens/>
              <w:spacing w:after="0"/>
              <w:jc w:val="right"/>
              <w:rPr>
                <w:color w:val="000000"/>
                <w:sz w:val="12"/>
                <w:szCs w:val="12"/>
              </w:rPr>
            </w:pPr>
            <w:r w:rsidRPr="006E0441">
              <w:rPr>
                <w:noProof/>
                <w:color w:val="000000"/>
                <w:sz w:val="12"/>
                <w:szCs w:val="12"/>
              </w:rPr>
              <w:t>6.746,00</w:t>
            </w:r>
          </w:p>
        </w:tc>
      </w:tr>
      <w:tr w:rsidR="00247554" w:rsidRPr="006E0441" w:rsidTr="00472D69">
        <w:trPr>
          <w:trHeight w:val="291"/>
        </w:trPr>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02 - 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ESRR</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rPr>
                <w:sz w:val="12"/>
                <w:szCs w:val="12"/>
              </w:rPr>
            </w:pPr>
            <w:r w:rsidRPr="006E0441">
              <w:rPr>
                <w:noProof/>
                <w:sz w:val="12"/>
                <w:szCs w:val="12"/>
              </w:rPr>
              <w:t>Bolj razvite</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2.2 -Število novo priključenih gospodinjstev na novo zgrajenih širokopasovnih omrežjih z najmanj 100Mb/s</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jc w:val="right"/>
              <w:rPr>
                <w:noProof/>
                <w:sz w:val="12"/>
                <w:szCs w:val="12"/>
              </w:rPr>
            </w:pPr>
            <w:r w:rsidRPr="006E0441">
              <w:rPr>
                <w:noProof/>
                <w:sz w:val="12"/>
                <w:szCs w:val="12"/>
              </w:rPr>
              <w:t>294</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jc w:val="right"/>
              <w:rPr>
                <w:noProof/>
                <w:color w:val="000000"/>
                <w:sz w:val="12"/>
                <w:szCs w:val="12"/>
              </w:rPr>
            </w:pPr>
            <w:r w:rsidRPr="006E0441">
              <w:rPr>
                <w:noProof/>
                <w:color w:val="000000"/>
                <w:sz w:val="12"/>
                <w:szCs w:val="12"/>
              </w:rPr>
              <w:t>4.168,00</w:t>
            </w:r>
          </w:p>
        </w:tc>
      </w:tr>
      <w:tr w:rsidR="00247554" w:rsidRPr="006E0441" w:rsidTr="00472D69">
        <w:trPr>
          <w:trHeight w:val="291"/>
        </w:trPr>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02 - 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ESRR</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rPr>
                <w:sz w:val="12"/>
                <w:szCs w:val="12"/>
              </w:rPr>
            </w:pPr>
            <w:r w:rsidRPr="006E0441">
              <w:rPr>
                <w:noProof/>
                <w:sz w:val="12"/>
                <w:szCs w:val="12"/>
              </w:rPr>
              <w:t>Bolj razvite</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F1 -Vložena sredstva/izdatki</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jc w:val="right"/>
              <w:rPr>
                <w:noProof/>
                <w:sz w:val="12"/>
                <w:szCs w:val="12"/>
              </w:rPr>
            </w:pPr>
            <w:r w:rsidRPr="006E0441">
              <w:rPr>
                <w:noProof/>
                <w:sz w:val="12"/>
                <w:szCs w:val="12"/>
              </w:rPr>
              <w:t>4.156.500,00</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jc w:val="right"/>
              <w:rPr>
                <w:noProof/>
                <w:color w:val="000000"/>
                <w:sz w:val="12"/>
                <w:szCs w:val="12"/>
              </w:rPr>
            </w:pPr>
            <w:r w:rsidRPr="006E0441">
              <w:rPr>
                <w:noProof/>
                <w:color w:val="000000"/>
                <w:sz w:val="12"/>
                <w:szCs w:val="12"/>
              </w:rPr>
              <w:t>22.022.181,00</w:t>
            </w:r>
          </w:p>
        </w:tc>
      </w:tr>
      <w:tr w:rsidR="00247554" w:rsidRPr="006E0441" w:rsidTr="00472D69">
        <w:trPr>
          <w:trHeight w:val="291"/>
        </w:trPr>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02 - 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ESRR</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rPr>
                <w:sz w:val="12"/>
                <w:szCs w:val="12"/>
              </w:rPr>
            </w:pPr>
            <w:r w:rsidRPr="006E0441">
              <w:rPr>
                <w:noProof/>
                <w:sz w:val="12"/>
                <w:szCs w:val="12"/>
              </w:rPr>
              <w:t>Manj razvite</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F1 -Vložena sredstva/izdatki</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pacing w:after="0"/>
              <w:jc w:val="right"/>
              <w:rPr>
                <w:noProof/>
                <w:sz w:val="12"/>
                <w:szCs w:val="12"/>
              </w:rPr>
            </w:pPr>
            <w:r w:rsidRPr="006E0441">
              <w:rPr>
                <w:noProof/>
                <w:sz w:val="12"/>
                <w:szCs w:val="12"/>
              </w:rPr>
              <w:t>5.091.000,00</w:t>
            </w: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247554" w:rsidRPr="006E0441" w:rsidRDefault="00247554" w:rsidP="00247554">
            <w:pPr>
              <w:suppressAutoHyphens/>
              <w:spacing w:after="0"/>
              <w:jc w:val="right"/>
              <w:rPr>
                <w:noProof/>
                <w:color w:val="000000"/>
                <w:sz w:val="12"/>
                <w:szCs w:val="12"/>
              </w:rPr>
            </w:pPr>
            <w:r w:rsidRPr="006E0441">
              <w:rPr>
                <w:noProof/>
                <w:color w:val="000000"/>
                <w:sz w:val="12"/>
                <w:szCs w:val="12"/>
              </w:rPr>
              <w:t>31.714.047,00</w:t>
            </w:r>
          </w:p>
        </w:tc>
      </w:tr>
    </w:tbl>
    <w:p w:rsidR="00247554" w:rsidRPr="006E0441" w:rsidRDefault="00247554" w:rsidP="00937F81">
      <w:pPr>
        <w:rPr>
          <w:b/>
          <w:noProof/>
        </w:rPr>
      </w:pPr>
    </w:p>
    <w:p w:rsidR="00937F81" w:rsidRPr="006E0441" w:rsidRDefault="00937F81" w:rsidP="00937F81">
      <w:pPr>
        <w:rPr>
          <w:b/>
          <w:noProof/>
        </w:rPr>
      </w:pPr>
      <w:r w:rsidRPr="006E0441">
        <w:rPr>
          <w:b/>
          <w:noProof/>
        </w:rPr>
        <w:t>Predlog OP 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649"/>
        <w:gridCol w:w="573"/>
        <w:gridCol w:w="947"/>
        <w:gridCol w:w="1661"/>
        <w:gridCol w:w="998"/>
        <w:gridCol w:w="356"/>
        <w:gridCol w:w="293"/>
        <w:gridCol w:w="855"/>
        <w:gridCol w:w="394"/>
        <w:gridCol w:w="324"/>
        <w:gridCol w:w="1012"/>
      </w:tblGrid>
      <w:tr w:rsidR="00144536" w:rsidRPr="006E0441" w:rsidTr="00472D69">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61E9" w:rsidRPr="006E0441" w:rsidRDefault="009D61E9" w:rsidP="00472D69">
            <w:pPr>
              <w:spacing w:after="0"/>
              <w:jc w:val="center"/>
              <w:rPr>
                <w:b/>
                <w:sz w:val="16"/>
                <w:szCs w:val="16"/>
              </w:rPr>
            </w:pPr>
            <w:r w:rsidRPr="006E0441">
              <w:rPr>
                <w:b/>
                <w:noProof/>
                <w:sz w:val="16"/>
                <w:szCs w:val="16"/>
              </w:rPr>
              <w:t>Prednostna os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61E9" w:rsidRPr="006E0441" w:rsidRDefault="009D61E9" w:rsidP="00472D69">
            <w:pPr>
              <w:spacing w:after="0"/>
              <w:jc w:val="center"/>
              <w:rPr>
                <w:b/>
                <w:color w:val="FF0000"/>
                <w:sz w:val="16"/>
                <w:szCs w:val="16"/>
              </w:rPr>
            </w:pPr>
            <w:r w:rsidRPr="006E0441">
              <w:rPr>
                <w:b/>
                <w:noProof/>
                <w:sz w:val="16"/>
                <w:szCs w:val="16"/>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61E9" w:rsidRPr="006E0441" w:rsidRDefault="009D61E9" w:rsidP="00472D69">
            <w:pPr>
              <w:spacing w:after="0"/>
              <w:jc w:val="center"/>
              <w:rPr>
                <w:b/>
                <w:color w:val="FF0000"/>
                <w:sz w:val="16"/>
                <w:szCs w:val="16"/>
              </w:rPr>
            </w:pPr>
            <w:r w:rsidRPr="006E0441">
              <w:rPr>
                <w:b/>
                <w:noProof/>
                <w:sz w:val="16"/>
                <w:szCs w:val="16"/>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61E9" w:rsidRPr="006E0441" w:rsidRDefault="009D61E9" w:rsidP="00472D69">
            <w:pPr>
              <w:spacing w:after="0"/>
              <w:jc w:val="center"/>
              <w:rPr>
                <w:b/>
                <w:color w:val="FF0000"/>
                <w:sz w:val="16"/>
                <w:szCs w:val="16"/>
              </w:rPr>
            </w:pPr>
            <w:r w:rsidRPr="006E0441">
              <w:rPr>
                <w:b/>
                <w:noProof/>
                <w:sz w:val="16"/>
                <w:szCs w:val="16"/>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61E9" w:rsidRPr="006E0441" w:rsidRDefault="009D61E9" w:rsidP="00472D69">
            <w:pPr>
              <w:spacing w:after="0"/>
              <w:jc w:val="center"/>
              <w:rPr>
                <w:b/>
                <w:color w:val="FF0000"/>
                <w:sz w:val="16"/>
                <w:szCs w:val="16"/>
              </w:rPr>
            </w:pPr>
            <w:r w:rsidRPr="006E0441">
              <w:rPr>
                <w:b/>
                <w:noProof/>
                <w:sz w:val="16"/>
                <w:szCs w:val="16"/>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9D61E9" w:rsidRPr="006E0441" w:rsidRDefault="009D61E9" w:rsidP="00472D69">
            <w:pPr>
              <w:spacing w:after="0"/>
              <w:jc w:val="center"/>
              <w:rPr>
                <w:b/>
                <w:color w:val="FF0000"/>
                <w:sz w:val="16"/>
                <w:szCs w:val="16"/>
              </w:rPr>
            </w:pPr>
            <w:r w:rsidRPr="006E0441">
              <w:rPr>
                <w:b/>
                <w:noProof/>
                <w:sz w:val="16"/>
                <w:szCs w:val="16"/>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9D61E9" w:rsidRPr="006E0441" w:rsidRDefault="009D61E9" w:rsidP="00472D69">
            <w:pPr>
              <w:spacing w:after="0"/>
              <w:jc w:val="center"/>
              <w:rPr>
                <w:b/>
                <w:color w:val="FF0000"/>
                <w:sz w:val="16"/>
                <w:szCs w:val="16"/>
              </w:rPr>
            </w:pPr>
            <w:r w:rsidRPr="006E0441">
              <w:rPr>
                <w:b/>
                <w:noProof/>
                <w:sz w:val="16"/>
                <w:szCs w:val="16"/>
              </w:rPr>
              <w:t>Končna ciljna vrednost (za leto 2023)</w:t>
            </w:r>
          </w:p>
        </w:tc>
      </w:tr>
      <w:tr w:rsidR="009D61E9" w:rsidRPr="006E0441" w:rsidTr="00472D69">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61E9" w:rsidRPr="006E0441" w:rsidRDefault="009D61E9" w:rsidP="00472D69">
            <w:pPr>
              <w:spacing w:after="0"/>
              <w:rPr>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D61E9" w:rsidRPr="006E0441" w:rsidRDefault="009D61E9" w:rsidP="00472D69">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D61E9" w:rsidRPr="006E0441" w:rsidRDefault="009D61E9" w:rsidP="00472D69">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D61E9" w:rsidRPr="006E0441" w:rsidRDefault="009D61E9" w:rsidP="00472D69">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D61E9" w:rsidRPr="006E0441" w:rsidRDefault="009D61E9" w:rsidP="00472D69">
            <w:pPr>
              <w:spacing w:after="0"/>
              <w:rPr>
                <w:b/>
                <w:color w:val="FF0000"/>
                <w:sz w:val="16"/>
                <w:szCs w:val="16"/>
              </w:rPr>
            </w:pPr>
          </w:p>
        </w:tc>
        <w:tc>
          <w:tcPr>
            <w:tcW w:w="0" w:type="auto"/>
            <w:tcBorders>
              <w:left w:val="single" w:sz="4" w:space="0" w:color="auto"/>
              <w:bottom w:val="single" w:sz="4" w:space="0" w:color="auto"/>
              <w:right w:val="single" w:sz="4" w:space="0" w:color="auto"/>
            </w:tcBorders>
            <w:shd w:val="clear" w:color="auto" w:fill="auto"/>
          </w:tcPr>
          <w:p w:rsidR="009D61E9" w:rsidRPr="006E0441" w:rsidRDefault="009D61E9" w:rsidP="00472D69">
            <w:pPr>
              <w:spacing w:after="0"/>
              <w:jc w:val="center"/>
              <w:rPr>
                <w:b/>
                <w:sz w:val="16"/>
                <w:szCs w:val="16"/>
              </w:rPr>
            </w:pPr>
            <w:r w:rsidRPr="006E0441">
              <w:rPr>
                <w:b/>
                <w:sz w:val="16"/>
                <w:szCs w:val="16"/>
              </w:rPr>
              <w:t>M</w:t>
            </w:r>
          </w:p>
        </w:tc>
        <w:tc>
          <w:tcPr>
            <w:tcW w:w="0" w:type="auto"/>
            <w:tcBorders>
              <w:left w:val="single" w:sz="4" w:space="0" w:color="auto"/>
              <w:bottom w:val="single" w:sz="4" w:space="0" w:color="auto"/>
              <w:right w:val="single" w:sz="4" w:space="0" w:color="auto"/>
            </w:tcBorders>
            <w:shd w:val="clear" w:color="auto" w:fill="auto"/>
          </w:tcPr>
          <w:p w:rsidR="009D61E9" w:rsidRPr="006E0441" w:rsidRDefault="009D61E9" w:rsidP="00472D69">
            <w:pPr>
              <w:spacing w:after="0"/>
              <w:jc w:val="center"/>
              <w:rPr>
                <w:b/>
                <w:sz w:val="16"/>
                <w:szCs w:val="16"/>
              </w:rPr>
            </w:pPr>
            <w:r w:rsidRPr="006E0441">
              <w:rPr>
                <w:b/>
                <w:sz w:val="16"/>
                <w:szCs w:val="16"/>
              </w:rPr>
              <w:t>Ž</w:t>
            </w:r>
          </w:p>
        </w:tc>
        <w:tc>
          <w:tcPr>
            <w:tcW w:w="0" w:type="auto"/>
            <w:tcBorders>
              <w:left w:val="single" w:sz="4" w:space="0" w:color="auto"/>
              <w:bottom w:val="single" w:sz="4" w:space="0" w:color="auto"/>
              <w:right w:val="single" w:sz="4" w:space="0" w:color="auto"/>
            </w:tcBorders>
            <w:shd w:val="clear" w:color="auto" w:fill="auto"/>
          </w:tcPr>
          <w:p w:rsidR="009D61E9" w:rsidRPr="006E0441" w:rsidRDefault="009D61E9" w:rsidP="00472D69">
            <w:pPr>
              <w:spacing w:after="0"/>
              <w:jc w:val="center"/>
              <w:rPr>
                <w:b/>
                <w:sz w:val="16"/>
                <w:szCs w:val="16"/>
              </w:rPr>
            </w:pPr>
            <w:r w:rsidRPr="006E0441">
              <w:rPr>
                <w:b/>
                <w:noProof/>
                <w:sz w:val="16"/>
                <w:szCs w:val="16"/>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D61E9" w:rsidRPr="006E0441" w:rsidRDefault="009D61E9" w:rsidP="00472D69">
            <w:pPr>
              <w:spacing w:after="0"/>
              <w:jc w:val="center"/>
              <w:rPr>
                <w:b/>
                <w:sz w:val="16"/>
                <w:szCs w:val="16"/>
              </w:rPr>
            </w:pPr>
            <w:r w:rsidRPr="006E0441">
              <w:rPr>
                <w:b/>
                <w:sz w:val="16"/>
                <w:szCs w:val="16"/>
              </w:rPr>
              <w:t>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D61E9" w:rsidRPr="006E0441" w:rsidRDefault="009D61E9" w:rsidP="00472D69">
            <w:pPr>
              <w:spacing w:after="0"/>
              <w:jc w:val="center"/>
              <w:rPr>
                <w:b/>
                <w:sz w:val="16"/>
                <w:szCs w:val="16"/>
              </w:rPr>
            </w:pPr>
            <w:r w:rsidRPr="006E0441">
              <w:rPr>
                <w:b/>
                <w:sz w:val="16"/>
                <w:szCs w:val="16"/>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9D61E9" w:rsidRPr="006E0441" w:rsidRDefault="009D61E9" w:rsidP="00472D69">
            <w:pPr>
              <w:spacing w:after="0"/>
              <w:jc w:val="center"/>
              <w:rPr>
                <w:b/>
                <w:sz w:val="16"/>
                <w:szCs w:val="16"/>
              </w:rPr>
            </w:pPr>
            <w:r w:rsidRPr="006E0441">
              <w:rPr>
                <w:b/>
                <w:noProof/>
                <w:sz w:val="16"/>
                <w:szCs w:val="16"/>
              </w:rPr>
              <w:t>Skupaj</w:t>
            </w:r>
          </w:p>
        </w:tc>
      </w:tr>
      <w:tr w:rsidR="009D61E9" w:rsidRPr="006E0441" w:rsidTr="00F96696">
        <w:trPr>
          <w:trHeight w:val="291"/>
        </w:trPr>
        <w:tc>
          <w:tcPr>
            <w:tcW w:w="0" w:type="auto"/>
            <w:tcBorders>
              <w:top w:val="single" w:sz="4" w:space="0" w:color="auto"/>
              <w:left w:val="single" w:sz="4" w:space="0" w:color="auto"/>
              <w:bottom w:val="single" w:sz="4" w:space="0" w:color="auto"/>
              <w:right w:val="single" w:sz="4" w:space="0" w:color="auto"/>
            </w:tcBorders>
            <w:hideMark/>
          </w:tcPr>
          <w:p w:rsidR="009D61E9" w:rsidRPr="006E0441" w:rsidRDefault="009D61E9" w:rsidP="009D61E9">
            <w:pPr>
              <w:suppressAutoHyphens/>
              <w:spacing w:after="0"/>
              <w:rPr>
                <w:sz w:val="12"/>
                <w:szCs w:val="12"/>
              </w:rPr>
            </w:pPr>
            <w:r w:rsidRPr="006E0441">
              <w:rPr>
                <w:noProof/>
                <w:color w:val="000000"/>
                <w:sz w:val="12"/>
                <w:szCs w:val="12"/>
              </w:rPr>
              <w:t>02 - 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9D61E9" w:rsidRPr="006E0441" w:rsidRDefault="009D61E9" w:rsidP="009D61E9">
            <w:pPr>
              <w:suppressAutoHyphens/>
              <w:spacing w:after="0"/>
              <w:rPr>
                <w:noProof/>
                <w:color w:val="000000"/>
                <w:sz w:val="12"/>
                <w:szCs w:val="12"/>
              </w:rPr>
            </w:pPr>
            <w:r w:rsidRPr="006E0441">
              <w:rPr>
                <w:noProof/>
                <w:color w:val="000000"/>
                <w:sz w:val="12"/>
                <w:szCs w:val="12"/>
              </w:rPr>
              <w:t>ESRR</w:t>
            </w:r>
          </w:p>
        </w:tc>
        <w:tc>
          <w:tcPr>
            <w:tcW w:w="0" w:type="auto"/>
            <w:tcBorders>
              <w:top w:val="single" w:sz="4" w:space="0" w:color="auto"/>
              <w:left w:val="single" w:sz="4" w:space="0" w:color="auto"/>
              <w:bottom w:val="single" w:sz="4" w:space="0" w:color="auto"/>
              <w:right w:val="single" w:sz="4" w:space="0" w:color="auto"/>
            </w:tcBorders>
            <w:hideMark/>
          </w:tcPr>
          <w:p w:rsidR="009D61E9" w:rsidRPr="006E0441" w:rsidRDefault="009D61E9" w:rsidP="009D61E9">
            <w:pPr>
              <w:spacing w:after="0"/>
              <w:rPr>
                <w:sz w:val="12"/>
                <w:szCs w:val="12"/>
              </w:rPr>
            </w:pPr>
            <w:r w:rsidRPr="006E0441">
              <w:rPr>
                <w:noProof/>
                <w:sz w:val="12"/>
                <w:szCs w:val="12"/>
              </w:rPr>
              <w:t>Manj razvite</w:t>
            </w:r>
          </w:p>
        </w:tc>
        <w:tc>
          <w:tcPr>
            <w:tcW w:w="0" w:type="auto"/>
            <w:tcBorders>
              <w:top w:val="single" w:sz="4" w:space="0" w:color="auto"/>
              <w:left w:val="single" w:sz="4" w:space="0" w:color="auto"/>
              <w:bottom w:val="single" w:sz="4" w:space="0" w:color="auto"/>
              <w:right w:val="single" w:sz="4" w:space="0" w:color="auto"/>
            </w:tcBorders>
            <w:hideMark/>
          </w:tcPr>
          <w:p w:rsidR="009D61E9" w:rsidRPr="006E0441" w:rsidRDefault="009D61E9" w:rsidP="009D61E9">
            <w:pPr>
              <w:suppressAutoHyphens/>
              <w:spacing w:after="0"/>
              <w:rPr>
                <w:noProof/>
                <w:color w:val="000000"/>
                <w:sz w:val="12"/>
                <w:szCs w:val="12"/>
              </w:rPr>
            </w:pPr>
            <w:r w:rsidRPr="006E0441">
              <w:rPr>
                <w:noProof/>
                <w:color w:val="000000"/>
                <w:sz w:val="12"/>
                <w:szCs w:val="12"/>
              </w:rPr>
              <w:t>2.2</w:t>
            </w:r>
            <w:r w:rsidRPr="006E0441">
              <w:rPr>
                <w:color w:val="000000"/>
                <w:sz w:val="12"/>
                <w:szCs w:val="12"/>
              </w:rPr>
              <w:t xml:space="preserve"> -</w:t>
            </w:r>
            <w:r w:rsidRPr="006E0441">
              <w:rPr>
                <w:noProof/>
                <w:color w:val="000000"/>
                <w:sz w:val="12"/>
                <w:szCs w:val="12"/>
              </w:rPr>
              <w:t>Število novo priključenih gospodinjstev na novo zgrajenih širokopasovnih omrežjih z najmanj 100Mb/s</w:t>
            </w:r>
          </w:p>
        </w:tc>
        <w:tc>
          <w:tcPr>
            <w:tcW w:w="0" w:type="auto"/>
            <w:tcBorders>
              <w:top w:val="single" w:sz="4" w:space="0" w:color="auto"/>
              <w:left w:val="single" w:sz="4" w:space="0" w:color="auto"/>
              <w:bottom w:val="single" w:sz="4" w:space="0" w:color="auto"/>
              <w:right w:val="single" w:sz="4" w:space="0" w:color="auto"/>
            </w:tcBorders>
            <w:hideMark/>
          </w:tcPr>
          <w:p w:rsidR="009D61E9" w:rsidRPr="006E0441" w:rsidRDefault="009D61E9" w:rsidP="009D61E9">
            <w:pPr>
              <w:suppressAutoHyphens/>
              <w:spacing w:after="0"/>
              <w:rPr>
                <w:noProof/>
                <w:color w:val="000000"/>
                <w:sz w:val="12"/>
                <w:szCs w:val="12"/>
              </w:rPr>
            </w:pPr>
            <w:r w:rsidRPr="006E0441">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9D61E9" w:rsidRPr="006E0441" w:rsidRDefault="009D61E9" w:rsidP="009D61E9">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jc w:val="right"/>
              <w:rPr>
                <w:sz w:val="12"/>
                <w:szCs w:val="12"/>
              </w:rPr>
            </w:pPr>
            <w:r w:rsidRPr="006E0441">
              <w:rPr>
                <w:noProof/>
                <w:sz w:val="12"/>
                <w:szCs w:val="12"/>
              </w:rPr>
              <w:t>476</w:t>
            </w:r>
          </w:p>
        </w:tc>
        <w:tc>
          <w:tcPr>
            <w:tcW w:w="0" w:type="auto"/>
            <w:tcBorders>
              <w:top w:val="single" w:sz="4" w:space="0" w:color="auto"/>
              <w:left w:val="single" w:sz="4" w:space="0" w:color="auto"/>
              <w:bottom w:val="single" w:sz="4" w:space="0" w:color="auto"/>
              <w:right w:val="single" w:sz="4" w:space="0" w:color="auto"/>
            </w:tcBorders>
            <w:hideMark/>
          </w:tcPr>
          <w:p w:rsidR="009D61E9" w:rsidRPr="006E0441" w:rsidRDefault="009D61E9" w:rsidP="009D61E9">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9D61E9" w:rsidRPr="006E0441" w:rsidRDefault="009D61E9" w:rsidP="009D61E9">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9D61E9" w:rsidRPr="006E0441" w:rsidRDefault="00CA730A" w:rsidP="009D61E9">
            <w:pPr>
              <w:suppressAutoHyphens/>
              <w:spacing w:after="0"/>
              <w:jc w:val="right"/>
              <w:rPr>
                <w:color w:val="000000"/>
                <w:sz w:val="12"/>
                <w:szCs w:val="12"/>
              </w:rPr>
            </w:pPr>
            <w:r w:rsidRPr="006E0441">
              <w:rPr>
                <w:color w:val="000000"/>
                <w:sz w:val="12"/>
                <w:szCs w:val="12"/>
              </w:rPr>
              <w:t>3.980</w:t>
            </w:r>
            <w:r w:rsidR="009D61E9" w:rsidRPr="006E0441">
              <w:rPr>
                <w:color w:val="000000"/>
                <w:sz w:val="12"/>
                <w:szCs w:val="12"/>
              </w:rPr>
              <w:t>,00</w:t>
            </w:r>
          </w:p>
        </w:tc>
      </w:tr>
      <w:tr w:rsidR="009D61E9" w:rsidRPr="006E0441" w:rsidTr="00F96696">
        <w:trPr>
          <w:trHeight w:val="291"/>
        </w:trPr>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t>02 - 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t>ESRR</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rPr>
                <w:sz w:val="12"/>
                <w:szCs w:val="12"/>
              </w:rPr>
            </w:pPr>
            <w:r w:rsidRPr="006E0441">
              <w:rPr>
                <w:noProof/>
                <w:sz w:val="12"/>
                <w:szCs w:val="12"/>
              </w:rPr>
              <w:t>Bolj razvite</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t>2.2 -Število novo priključenih gospodinjstev na novo zgrajenih širokopasovnih omrežjih z najmanj 100Mb/s</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jc w:val="right"/>
              <w:rPr>
                <w:noProof/>
                <w:sz w:val="12"/>
                <w:szCs w:val="12"/>
              </w:rPr>
            </w:pPr>
            <w:r w:rsidRPr="006E0441">
              <w:rPr>
                <w:noProof/>
                <w:sz w:val="12"/>
                <w:szCs w:val="12"/>
              </w:rPr>
              <w:t>294</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144536" w:rsidP="009D61E9">
            <w:pPr>
              <w:suppressAutoHyphens/>
              <w:spacing w:after="0"/>
              <w:jc w:val="right"/>
              <w:rPr>
                <w:noProof/>
                <w:color w:val="000000"/>
                <w:sz w:val="12"/>
                <w:szCs w:val="12"/>
              </w:rPr>
            </w:pPr>
            <w:r w:rsidRPr="006E0441">
              <w:rPr>
                <w:color w:val="000000"/>
                <w:sz w:val="12"/>
                <w:szCs w:val="12"/>
              </w:rPr>
              <w:t>2.459</w:t>
            </w:r>
            <w:r w:rsidR="009D61E9" w:rsidRPr="006E0441">
              <w:rPr>
                <w:color w:val="000000"/>
                <w:sz w:val="12"/>
                <w:szCs w:val="12"/>
              </w:rPr>
              <w:t>,00</w:t>
            </w:r>
          </w:p>
        </w:tc>
      </w:tr>
      <w:tr w:rsidR="009D61E9" w:rsidRPr="006E0441" w:rsidTr="00F96696">
        <w:trPr>
          <w:trHeight w:val="291"/>
        </w:trPr>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t>02 - 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t>ESRR</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rPr>
                <w:sz w:val="12"/>
                <w:szCs w:val="12"/>
              </w:rPr>
            </w:pPr>
            <w:r w:rsidRPr="006E0441">
              <w:rPr>
                <w:noProof/>
                <w:sz w:val="12"/>
                <w:szCs w:val="12"/>
              </w:rPr>
              <w:t>Bolj razvite</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t>F1 -Vložena sredstva/izdatki</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jc w:val="right"/>
              <w:rPr>
                <w:noProof/>
                <w:sz w:val="12"/>
                <w:szCs w:val="12"/>
              </w:rPr>
            </w:pPr>
            <w:r w:rsidRPr="006E0441">
              <w:rPr>
                <w:noProof/>
                <w:sz w:val="12"/>
                <w:szCs w:val="12"/>
              </w:rPr>
              <w:t>4.156.500,00</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A52F58" w:rsidRPr="006E0441" w:rsidRDefault="00A52F58">
            <w:pPr>
              <w:suppressAutoHyphens/>
              <w:spacing w:after="0"/>
              <w:jc w:val="right"/>
              <w:rPr>
                <w:color w:val="000000"/>
                <w:sz w:val="12"/>
                <w:szCs w:val="12"/>
              </w:rPr>
            </w:pPr>
            <w:r w:rsidRPr="006E0441">
              <w:rPr>
                <w:color w:val="000000"/>
                <w:sz w:val="12"/>
                <w:szCs w:val="12"/>
              </w:rPr>
              <w:t>17.486.</w:t>
            </w:r>
            <w:r w:rsidR="007B5EFD" w:rsidRPr="006E0441">
              <w:rPr>
                <w:color w:val="000000"/>
                <w:sz w:val="12"/>
                <w:szCs w:val="12"/>
              </w:rPr>
              <w:t>598</w:t>
            </w:r>
            <w:r w:rsidRPr="006E0441">
              <w:rPr>
                <w:color w:val="000000"/>
                <w:sz w:val="12"/>
                <w:szCs w:val="12"/>
              </w:rPr>
              <w:t>,</w:t>
            </w:r>
            <w:r w:rsidR="007B5EFD" w:rsidRPr="006E0441">
              <w:rPr>
                <w:color w:val="000000"/>
                <w:sz w:val="12"/>
                <w:szCs w:val="12"/>
              </w:rPr>
              <w:t>00</w:t>
            </w:r>
          </w:p>
        </w:tc>
      </w:tr>
      <w:tr w:rsidR="009D61E9" w:rsidRPr="006E0441" w:rsidTr="00F96696">
        <w:trPr>
          <w:trHeight w:val="291"/>
        </w:trPr>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lastRenderedPageBreak/>
              <w:t>02 - 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t>ESRR</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rPr>
                <w:sz w:val="12"/>
                <w:szCs w:val="12"/>
              </w:rPr>
            </w:pPr>
            <w:r w:rsidRPr="006E0441">
              <w:rPr>
                <w:noProof/>
                <w:sz w:val="12"/>
                <w:szCs w:val="12"/>
              </w:rPr>
              <w:t>Manj razvite</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t>F1 -Vložena sredstva/izdatki</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pacing w:after="0"/>
              <w:jc w:val="right"/>
              <w:rPr>
                <w:noProof/>
                <w:sz w:val="12"/>
                <w:szCs w:val="12"/>
              </w:rPr>
            </w:pPr>
            <w:r w:rsidRPr="006E0441">
              <w:rPr>
                <w:noProof/>
                <w:sz w:val="12"/>
                <w:szCs w:val="12"/>
              </w:rPr>
              <w:t>5.091.000,00</w:t>
            </w: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9D61E9" w:rsidP="009D61E9">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9D61E9" w:rsidRPr="006E0441" w:rsidRDefault="007B5EFD" w:rsidP="00F96696">
            <w:pPr>
              <w:spacing w:after="0"/>
              <w:jc w:val="right"/>
              <w:rPr>
                <w:noProof/>
                <w:color w:val="000000"/>
                <w:sz w:val="12"/>
                <w:szCs w:val="12"/>
              </w:rPr>
            </w:pPr>
            <w:r w:rsidRPr="006E0441">
              <w:rPr>
                <w:noProof/>
                <w:sz w:val="12"/>
                <w:szCs w:val="12"/>
              </w:rPr>
              <w:t>23.749.630,00</w:t>
            </w:r>
          </w:p>
        </w:tc>
      </w:tr>
    </w:tbl>
    <w:p w:rsidR="009D61E9" w:rsidRPr="006E0441" w:rsidRDefault="009D61E9" w:rsidP="00937F81">
      <w:pPr>
        <w:rPr>
          <w:b/>
          <w:noProof/>
        </w:rPr>
      </w:pPr>
    </w:p>
    <w:p w:rsidR="00937F81" w:rsidRPr="006E0441" w:rsidRDefault="00937F81" w:rsidP="00937F81">
      <w:pPr>
        <w:jc w:val="both"/>
        <w:rPr>
          <w:rStyle w:val="Neenpoudarek"/>
          <w:rFonts w:cs="Arial"/>
          <w:i w:val="0"/>
          <w:color w:val="auto"/>
        </w:rPr>
      </w:pPr>
      <w:r w:rsidRPr="006E0441">
        <w:rPr>
          <w:rStyle w:val="Neenpoudarek"/>
          <w:rFonts w:cs="Arial"/>
          <w:color w:val="auto"/>
        </w:rPr>
        <w:t>Obrazložitev:</w:t>
      </w:r>
      <w:r w:rsidRPr="006E0441">
        <w:rPr>
          <w:rStyle w:val="Neenpoudarek"/>
          <w:rFonts w:cs="Arial"/>
          <w:i w:val="0"/>
          <w:color w:val="auto"/>
        </w:rPr>
        <w:t xml:space="preserve"> </w:t>
      </w:r>
    </w:p>
    <w:p w:rsidR="00937F81" w:rsidRPr="006E0441" w:rsidRDefault="00272868" w:rsidP="009C510D">
      <w:pPr>
        <w:pStyle w:val="Naslov4"/>
        <w:jc w:val="both"/>
        <w:rPr>
          <w:rFonts w:ascii="Calibri" w:eastAsiaTheme="minorEastAsia" w:hAnsi="Calibri" w:cs="Helv"/>
          <w:caps w:val="0"/>
          <w:color w:val="000000"/>
          <w:szCs w:val="20"/>
          <w:lang w:eastAsia="sl-SI"/>
        </w:rPr>
      </w:pPr>
      <w:r w:rsidRPr="006E0441">
        <w:rPr>
          <w:rFonts w:ascii="Calibri" w:eastAsiaTheme="minorEastAsia" w:hAnsi="Calibri" w:cs="Helv"/>
          <w:caps w:val="0"/>
          <w:color w:val="000000"/>
          <w:szCs w:val="20"/>
          <w:lang w:eastAsia="sl-SI"/>
        </w:rPr>
        <w:t>Pravice porabe se na prednostni naložbi nižajo. Iz tega razloga se sorazmerno nižajo tu</w:t>
      </w:r>
      <w:r w:rsidR="00242B0F" w:rsidRPr="006E0441">
        <w:rPr>
          <w:rFonts w:ascii="Calibri" w:eastAsiaTheme="minorEastAsia" w:hAnsi="Calibri" w:cs="Helv"/>
          <w:caps w:val="0"/>
          <w:color w:val="000000"/>
          <w:szCs w:val="20"/>
          <w:lang w:eastAsia="sl-SI"/>
        </w:rPr>
        <w:t>di kazalniki okvira uspešnosti. In finančni kazalniki od kocu obdobja.</w:t>
      </w:r>
    </w:p>
    <w:p w:rsidR="00F465CE" w:rsidRPr="006E0441" w:rsidRDefault="00F465CE" w:rsidP="004C64D6">
      <w:pPr>
        <w:pStyle w:val="Naslov4"/>
        <w:rPr>
          <w:b/>
        </w:rPr>
      </w:pPr>
    </w:p>
    <w:p w:rsidR="004C64D6" w:rsidRPr="006E0441" w:rsidRDefault="004C64D6" w:rsidP="004C64D6">
      <w:pPr>
        <w:pStyle w:val="Naslov4"/>
        <w:rPr>
          <w:b/>
        </w:rPr>
      </w:pPr>
      <w:r w:rsidRPr="006E0441">
        <w:rPr>
          <w:b/>
        </w:rPr>
        <w:t>PREDNOSTNA OS 4</w:t>
      </w:r>
    </w:p>
    <w:p w:rsidR="00F150B2" w:rsidRPr="006E0441" w:rsidRDefault="00F150B2" w:rsidP="00F150B2"/>
    <w:p w:rsidR="004C64D6" w:rsidRPr="006E0441" w:rsidRDefault="004C64D6" w:rsidP="004C64D6">
      <w:pPr>
        <w:rPr>
          <w:b/>
          <w:noProof/>
        </w:rPr>
      </w:pPr>
      <w:r w:rsidRPr="006E0441">
        <w:rPr>
          <w:b/>
          <w:noProof/>
        </w:rPr>
        <w:t>OP 5.0 - stanje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271"/>
        <w:gridCol w:w="630"/>
        <w:gridCol w:w="788"/>
        <w:gridCol w:w="1106"/>
        <w:gridCol w:w="787"/>
        <w:gridCol w:w="354"/>
        <w:gridCol w:w="292"/>
        <w:gridCol w:w="1534"/>
        <w:gridCol w:w="354"/>
        <w:gridCol w:w="292"/>
        <w:gridCol w:w="1654"/>
      </w:tblGrid>
      <w:tr w:rsidR="00B763D6" w:rsidRPr="006E0441" w:rsidTr="00F96696">
        <w:trPr>
          <w:trHeight w:val="368"/>
          <w:tblHeader/>
        </w:trPr>
        <w:tc>
          <w:tcPr>
            <w:tcW w:w="12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D6" w:rsidRPr="006E0441" w:rsidRDefault="004C64D6" w:rsidP="004C797B">
            <w:pPr>
              <w:spacing w:after="0"/>
              <w:jc w:val="center"/>
              <w:rPr>
                <w:b/>
                <w:sz w:val="16"/>
                <w:szCs w:val="16"/>
              </w:rPr>
            </w:pPr>
            <w:r w:rsidRPr="006E0441">
              <w:rPr>
                <w:b/>
                <w:noProof/>
                <w:sz w:val="16"/>
                <w:szCs w:val="16"/>
              </w:rPr>
              <w:t>Prednostna os</w:t>
            </w:r>
          </w:p>
        </w:tc>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D6" w:rsidRPr="006E0441" w:rsidRDefault="004C64D6" w:rsidP="004C797B">
            <w:pPr>
              <w:spacing w:after="0"/>
              <w:jc w:val="center"/>
              <w:rPr>
                <w:b/>
                <w:color w:val="FF0000"/>
                <w:sz w:val="16"/>
                <w:szCs w:val="16"/>
              </w:rPr>
            </w:pPr>
            <w:r w:rsidRPr="006E0441">
              <w:rPr>
                <w:b/>
                <w:noProof/>
                <w:sz w:val="16"/>
                <w:szCs w:val="16"/>
              </w:rPr>
              <w:t>Sklad</w:t>
            </w:r>
          </w:p>
        </w:tc>
        <w:tc>
          <w:tcPr>
            <w:tcW w:w="7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D6" w:rsidRPr="006E0441" w:rsidRDefault="004C64D6" w:rsidP="004C797B">
            <w:pPr>
              <w:spacing w:after="0"/>
              <w:jc w:val="center"/>
              <w:rPr>
                <w:b/>
                <w:color w:val="FF0000"/>
                <w:sz w:val="16"/>
                <w:szCs w:val="16"/>
              </w:rPr>
            </w:pPr>
            <w:r w:rsidRPr="006E0441">
              <w:rPr>
                <w:b/>
                <w:noProof/>
                <w:sz w:val="16"/>
                <w:szCs w:val="16"/>
              </w:rPr>
              <w:t>Kategorija regij</w:t>
            </w: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D6" w:rsidRPr="006E0441" w:rsidRDefault="004C64D6" w:rsidP="004C797B">
            <w:pPr>
              <w:spacing w:after="0"/>
              <w:jc w:val="center"/>
              <w:rPr>
                <w:b/>
                <w:color w:val="FF0000"/>
                <w:sz w:val="16"/>
                <w:szCs w:val="16"/>
              </w:rPr>
            </w:pPr>
            <w:r w:rsidRPr="006E0441">
              <w:rPr>
                <w:b/>
                <w:noProof/>
                <w:sz w:val="16"/>
                <w:szCs w:val="16"/>
              </w:rPr>
              <w:t>Kazalnik ali ključna faza izvajanja</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D6" w:rsidRPr="006E0441" w:rsidRDefault="004C64D6" w:rsidP="004C797B">
            <w:pPr>
              <w:spacing w:after="0"/>
              <w:jc w:val="center"/>
              <w:rPr>
                <w:b/>
                <w:color w:val="FF0000"/>
                <w:sz w:val="16"/>
                <w:szCs w:val="16"/>
              </w:rPr>
            </w:pPr>
            <w:r w:rsidRPr="006E0441">
              <w:rPr>
                <w:b/>
                <w:noProof/>
                <w:sz w:val="16"/>
                <w:szCs w:val="16"/>
              </w:rPr>
              <w:t>Merska enota, če je ustrezno</w:t>
            </w:r>
          </w:p>
        </w:tc>
        <w:tc>
          <w:tcPr>
            <w:tcW w:w="2180" w:type="dxa"/>
            <w:gridSpan w:val="3"/>
            <w:tcBorders>
              <w:top w:val="single" w:sz="4" w:space="0" w:color="auto"/>
              <w:left w:val="single" w:sz="4" w:space="0" w:color="auto"/>
              <w:right w:val="single" w:sz="4" w:space="0" w:color="auto"/>
            </w:tcBorders>
            <w:shd w:val="clear" w:color="auto" w:fill="auto"/>
            <w:hideMark/>
          </w:tcPr>
          <w:p w:rsidR="004C64D6" w:rsidRPr="006E0441" w:rsidRDefault="004C64D6" w:rsidP="004C797B">
            <w:pPr>
              <w:spacing w:after="0"/>
              <w:jc w:val="center"/>
              <w:rPr>
                <w:b/>
                <w:color w:val="FF0000"/>
                <w:sz w:val="16"/>
                <w:szCs w:val="16"/>
              </w:rPr>
            </w:pPr>
            <w:r w:rsidRPr="006E0441">
              <w:rPr>
                <w:b/>
                <w:noProof/>
                <w:sz w:val="16"/>
                <w:szCs w:val="16"/>
              </w:rPr>
              <w:t>Mejnik za leto 2018</w:t>
            </w:r>
          </w:p>
        </w:tc>
        <w:tc>
          <w:tcPr>
            <w:tcW w:w="2300" w:type="dxa"/>
            <w:gridSpan w:val="3"/>
            <w:tcBorders>
              <w:top w:val="single" w:sz="4" w:space="0" w:color="auto"/>
              <w:left w:val="single" w:sz="4" w:space="0" w:color="auto"/>
              <w:bottom w:val="single" w:sz="4" w:space="0" w:color="auto"/>
              <w:right w:val="single" w:sz="4" w:space="0" w:color="auto"/>
            </w:tcBorders>
            <w:shd w:val="clear" w:color="auto" w:fill="auto"/>
            <w:hideMark/>
          </w:tcPr>
          <w:p w:rsidR="004C64D6" w:rsidRPr="006E0441" w:rsidRDefault="004C64D6" w:rsidP="004C797B">
            <w:pPr>
              <w:spacing w:after="0"/>
              <w:jc w:val="center"/>
              <w:rPr>
                <w:b/>
                <w:color w:val="FF0000"/>
                <w:sz w:val="16"/>
                <w:szCs w:val="16"/>
              </w:rPr>
            </w:pPr>
            <w:r w:rsidRPr="006E0441">
              <w:rPr>
                <w:b/>
                <w:noProof/>
                <w:sz w:val="16"/>
                <w:szCs w:val="16"/>
              </w:rPr>
              <w:t>Končna ciljna vrednost (za leto 2023)</w:t>
            </w:r>
          </w:p>
        </w:tc>
      </w:tr>
      <w:tr w:rsidR="00B763D6" w:rsidRPr="006E0441" w:rsidTr="00F96696">
        <w:trPr>
          <w:trHeight w:val="367"/>
          <w:tblHeader/>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4C64D6" w:rsidRPr="006E0441" w:rsidRDefault="004C64D6" w:rsidP="004C797B">
            <w:pPr>
              <w:spacing w:after="0"/>
              <w:rPr>
                <w:b/>
                <w:sz w:val="16"/>
                <w:szCs w:val="16"/>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rsidR="004C64D6" w:rsidRPr="006E0441" w:rsidRDefault="004C64D6" w:rsidP="004C797B">
            <w:pPr>
              <w:spacing w:after="0"/>
              <w:rPr>
                <w:b/>
                <w:color w:val="FF0000"/>
                <w:sz w:val="16"/>
                <w:szCs w:val="16"/>
              </w:rPr>
            </w:pPr>
          </w:p>
        </w:tc>
        <w:tc>
          <w:tcPr>
            <w:tcW w:w="788" w:type="dxa"/>
            <w:vMerge/>
            <w:tcBorders>
              <w:top w:val="single" w:sz="4" w:space="0" w:color="auto"/>
              <w:left w:val="single" w:sz="4" w:space="0" w:color="auto"/>
              <w:bottom w:val="single" w:sz="4" w:space="0" w:color="auto"/>
              <w:right w:val="single" w:sz="4" w:space="0" w:color="auto"/>
            </w:tcBorders>
            <w:vAlign w:val="center"/>
            <w:hideMark/>
          </w:tcPr>
          <w:p w:rsidR="004C64D6" w:rsidRPr="006E0441" w:rsidRDefault="004C64D6" w:rsidP="004C797B">
            <w:pPr>
              <w:spacing w:after="0"/>
              <w:rPr>
                <w:b/>
                <w:color w:val="FF0000"/>
                <w:sz w:val="16"/>
                <w:szCs w:val="16"/>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4C64D6" w:rsidRPr="006E0441" w:rsidRDefault="004C64D6" w:rsidP="004C797B">
            <w:pPr>
              <w:spacing w:after="0"/>
              <w:rPr>
                <w:b/>
                <w:color w:val="FF0000"/>
                <w:sz w:val="16"/>
                <w:szCs w:val="16"/>
              </w:rPr>
            </w:pPr>
          </w:p>
        </w:tc>
        <w:tc>
          <w:tcPr>
            <w:tcW w:w="787" w:type="dxa"/>
            <w:vMerge/>
            <w:tcBorders>
              <w:top w:val="single" w:sz="4" w:space="0" w:color="auto"/>
              <w:left w:val="single" w:sz="4" w:space="0" w:color="auto"/>
              <w:bottom w:val="single" w:sz="4" w:space="0" w:color="auto"/>
              <w:right w:val="single" w:sz="4" w:space="0" w:color="auto"/>
            </w:tcBorders>
            <w:vAlign w:val="center"/>
            <w:hideMark/>
          </w:tcPr>
          <w:p w:rsidR="004C64D6" w:rsidRPr="006E0441" w:rsidRDefault="004C64D6" w:rsidP="004C797B">
            <w:pPr>
              <w:spacing w:after="0"/>
              <w:rPr>
                <w:b/>
                <w:color w:val="FF0000"/>
                <w:sz w:val="16"/>
                <w:szCs w:val="16"/>
              </w:rPr>
            </w:pPr>
          </w:p>
        </w:tc>
        <w:tc>
          <w:tcPr>
            <w:tcW w:w="354" w:type="dxa"/>
            <w:tcBorders>
              <w:left w:val="single" w:sz="4" w:space="0" w:color="auto"/>
              <w:bottom w:val="single" w:sz="4" w:space="0" w:color="auto"/>
              <w:right w:val="single" w:sz="4" w:space="0" w:color="auto"/>
            </w:tcBorders>
            <w:shd w:val="clear" w:color="auto" w:fill="auto"/>
          </w:tcPr>
          <w:p w:rsidR="004C64D6" w:rsidRPr="006E0441" w:rsidRDefault="00247554" w:rsidP="004C797B">
            <w:pPr>
              <w:spacing w:after="0"/>
              <w:jc w:val="center"/>
              <w:rPr>
                <w:b/>
                <w:sz w:val="16"/>
                <w:szCs w:val="16"/>
              </w:rPr>
            </w:pPr>
            <w:r w:rsidRPr="006E0441">
              <w:rPr>
                <w:b/>
                <w:sz w:val="16"/>
                <w:szCs w:val="16"/>
              </w:rPr>
              <w:t>M</w:t>
            </w:r>
          </w:p>
        </w:tc>
        <w:tc>
          <w:tcPr>
            <w:tcW w:w="292" w:type="dxa"/>
            <w:tcBorders>
              <w:left w:val="single" w:sz="4" w:space="0" w:color="auto"/>
              <w:bottom w:val="single" w:sz="4" w:space="0" w:color="auto"/>
              <w:right w:val="single" w:sz="4" w:space="0" w:color="auto"/>
            </w:tcBorders>
            <w:shd w:val="clear" w:color="auto" w:fill="auto"/>
          </w:tcPr>
          <w:p w:rsidR="004C64D6" w:rsidRPr="006E0441" w:rsidRDefault="00247554" w:rsidP="004C797B">
            <w:pPr>
              <w:spacing w:after="0"/>
              <w:jc w:val="center"/>
              <w:rPr>
                <w:b/>
                <w:sz w:val="16"/>
                <w:szCs w:val="16"/>
              </w:rPr>
            </w:pPr>
            <w:r w:rsidRPr="006E0441">
              <w:rPr>
                <w:b/>
                <w:sz w:val="16"/>
                <w:szCs w:val="16"/>
              </w:rPr>
              <w:t>Ž</w:t>
            </w:r>
          </w:p>
        </w:tc>
        <w:tc>
          <w:tcPr>
            <w:tcW w:w="1534" w:type="dxa"/>
            <w:tcBorders>
              <w:left w:val="single" w:sz="4" w:space="0" w:color="auto"/>
              <w:bottom w:val="single" w:sz="4" w:space="0" w:color="auto"/>
              <w:right w:val="single" w:sz="4" w:space="0" w:color="auto"/>
            </w:tcBorders>
            <w:shd w:val="clear" w:color="auto" w:fill="auto"/>
          </w:tcPr>
          <w:p w:rsidR="004C64D6" w:rsidRPr="006E0441" w:rsidRDefault="004C64D6" w:rsidP="004C797B">
            <w:pPr>
              <w:spacing w:after="0"/>
              <w:jc w:val="center"/>
              <w:rPr>
                <w:b/>
                <w:sz w:val="16"/>
                <w:szCs w:val="16"/>
              </w:rPr>
            </w:pPr>
            <w:r w:rsidRPr="006E0441">
              <w:rPr>
                <w:b/>
                <w:noProof/>
                <w:sz w:val="16"/>
                <w:szCs w:val="16"/>
              </w:rPr>
              <w:t>Skupaj</w:t>
            </w:r>
          </w:p>
        </w:tc>
        <w:tc>
          <w:tcPr>
            <w:tcW w:w="354" w:type="dxa"/>
            <w:tcBorders>
              <w:top w:val="single" w:sz="4" w:space="0" w:color="auto"/>
              <w:left w:val="single" w:sz="4" w:space="0" w:color="auto"/>
              <w:bottom w:val="single" w:sz="4" w:space="0" w:color="auto"/>
              <w:right w:val="single" w:sz="4" w:space="0" w:color="auto"/>
            </w:tcBorders>
            <w:shd w:val="clear" w:color="auto" w:fill="auto"/>
          </w:tcPr>
          <w:p w:rsidR="004C64D6" w:rsidRPr="006E0441" w:rsidRDefault="00247554" w:rsidP="004C797B">
            <w:pPr>
              <w:spacing w:after="0"/>
              <w:jc w:val="center"/>
              <w:rPr>
                <w:b/>
                <w:sz w:val="16"/>
                <w:szCs w:val="16"/>
              </w:rPr>
            </w:pPr>
            <w:r w:rsidRPr="006E0441">
              <w:rPr>
                <w:b/>
                <w:sz w:val="16"/>
                <w:szCs w:val="16"/>
              </w:rPr>
              <w:t>M</w:t>
            </w:r>
          </w:p>
        </w:tc>
        <w:tc>
          <w:tcPr>
            <w:tcW w:w="292" w:type="dxa"/>
            <w:tcBorders>
              <w:top w:val="single" w:sz="4" w:space="0" w:color="auto"/>
              <w:left w:val="single" w:sz="4" w:space="0" w:color="auto"/>
              <w:bottom w:val="single" w:sz="4" w:space="0" w:color="auto"/>
              <w:right w:val="single" w:sz="4" w:space="0" w:color="auto"/>
            </w:tcBorders>
            <w:shd w:val="clear" w:color="auto" w:fill="auto"/>
          </w:tcPr>
          <w:p w:rsidR="004C64D6" w:rsidRPr="006E0441" w:rsidRDefault="00247554" w:rsidP="004C797B">
            <w:pPr>
              <w:spacing w:after="0"/>
              <w:jc w:val="center"/>
              <w:rPr>
                <w:b/>
                <w:sz w:val="16"/>
                <w:szCs w:val="16"/>
              </w:rPr>
            </w:pPr>
            <w:r w:rsidRPr="006E0441">
              <w:rPr>
                <w:b/>
                <w:sz w:val="16"/>
                <w:szCs w:val="16"/>
              </w:rPr>
              <w:t>Ž</w:t>
            </w:r>
          </w:p>
        </w:tc>
        <w:tc>
          <w:tcPr>
            <w:tcW w:w="1654" w:type="dxa"/>
            <w:tcBorders>
              <w:top w:val="single" w:sz="4" w:space="0" w:color="auto"/>
              <w:left w:val="single" w:sz="4" w:space="0" w:color="auto"/>
              <w:bottom w:val="single" w:sz="4" w:space="0" w:color="auto"/>
              <w:right w:val="single" w:sz="4" w:space="0" w:color="auto"/>
            </w:tcBorders>
            <w:shd w:val="clear" w:color="auto" w:fill="auto"/>
            <w:hideMark/>
          </w:tcPr>
          <w:p w:rsidR="004C64D6" w:rsidRPr="006E0441" w:rsidRDefault="004C64D6" w:rsidP="004C797B">
            <w:pPr>
              <w:spacing w:after="0"/>
              <w:jc w:val="center"/>
              <w:rPr>
                <w:b/>
                <w:sz w:val="16"/>
                <w:szCs w:val="16"/>
              </w:rPr>
            </w:pPr>
            <w:r w:rsidRPr="006E0441">
              <w:rPr>
                <w:b/>
                <w:noProof/>
                <w:sz w:val="16"/>
                <w:szCs w:val="16"/>
              </w:rPr>
              <w:t>Skupaj</w:t>
            </w:r>
          </w:p>
        </w:tc>
      </w:tr>
      <w:tr w:rsidR="00B763D6" w:rsidRPr="006E0441" w:rsidTr="00F96696">
        <w:trPr>
          <w:cantSplit/>
          <w:trHeight w:val="291"/>
        </w:trPr>
        <w:tc>
          <w:tcPr>
            <w:tcW w:w="1271" w:type="dxa"/>
            <w:tcBorders>
              <w:top w:val="single" w:sz="4" w:space="0" w:color="auto"/>
              <w:left w:val="single" w:sz="4" w:space="0" w:color="auto"/>
              <w:bottom w:val="single" w:sz="4" w:space="0" w:color="auto"/>
              <w:right w:val="single" w:sz="4" w:space="0" w:color="auto"/>
            </w:tcBorders>
            <w:hideMark/>
          </w:tcPr>
          <w:p w:rsidR="00B763D6" w:rsidRPr="006E0441" w:rsidRDefault="00B763D6" w:rsidP="00B763D6">
            <w:pPr>
              <w:suppressAutoHyphens/>
              <w:spacing w:after="0"/>
              <w:rPr>
                <w:sz w:val="12"/>
                <w:szCs w:val="12"/>
              </w:rPr>
            </w:pPr>
            <w:r w:rsidRPr="006E0441">
              <w:rPr>
                <w:noProof/>
                <w:color w:val="000000"/>
                <w:sz w:val="12"/>
                <w:szCs w:val="12"/>
              </w:rPr>
              <w:t>04 - Trajnostna raba in proizvodnja energije in pametna omrežja</w:t>
            </w:r>
          </w:p>
        </w:tc>
        <w:tc>
          <w:tcPr>
            <w:tcW w:w="630" w:type="dxa"/>
            <w:tcBorders>
              <w:top w:val="single" w:sz="4" w:space="0" w:color="auto"/>
              <w:left w:val="single" w:sz="4" w:space="0" w:color="auto"/>
              <w:bottom w:val="single" w:sz="4" w:space="0" w:color="auto"/>
              <w:right w:val="single" w:sz="4" w:space="0" w:color="auto"/>
            </w:tcBorders>
            <w:hideMark/>
          </w:tcPr>
          <w:p w:rsidR="00B763D6" w:rsidRPr="006E0441" w:rsidRDefault="00B763D6" w:rsidP="00B763D6">
            <w:pPr>
              <w:suppressAutoHyphens/>
              <w:spacing w:after="0"/>
              <w:rPr>
                <w:noProof/>
                <w:color w:val="000000"/>
                <w:sz w:val="12"/>
                <w:szCs w:val="12"/>
              </w:rPr>
            </w:pPr>
            <w:r w:rsidRPr="006E0441">
              <w:rPr>
                <w:noProof/>
                <w:color w:val="000000"/>
                <w:sz w:val="12"/>
                <w:szCs w:val="12"/>
              </w:rPr>
              <w:t>ESRR</w:t>
            </w:r>
          </w:p>
        </w:tc>
        <w:tc>
          <w:tcPr>
            <w:tcW w:w="788" w:type="dxa"/>
            <w:tcBorders>
              <w:top w:val="single" w:sz="4" w:space="0" w:color="auto"/>
              <w:left w:val="single" w:sz="4" w:space="0" w:color="auto"/>
              <w:bottom w:val="single" w:sz="4" w:space="0" w:color="auto"/>
              <w:right w:val="single" w:sz="4" w:space="0" w:color="auto"/>
            </w:tcBorders>
            <w:hideMark/>
          </w:tcPr>
          <w:p w:rsidR="00B763D6" w:rsidRPr="006E0441" w:rsidRDefault="00B763D6" w:rsidP="00B763D6">
            <w:pPr>
              <w:spacing w:after="0"/>
              <w:rPr>
                <w:sz w:val="12"/>
                <w:szCs w:val="12"/>
              </w:rPr>
            </w:pPr>
            <w:r w:rsidRPr="006E0441">
              <w:rPr>
                <w:noProof/>
                <w:color w:val="000000"/>
                <w:sz w:val="10"/>
                <w:szCs w:val="10"/>
              </w:rPr>
              <w:t>Manj razvite</w:t>
            </w:r>
          </w:p>
        </w:tc>
        <w:tc>
          <w:tcPr>
            <w:tcW w:w="1106" w:type="dxa"/>
            <w:tcBorders>
              <w:top w:val="single" w:sz="4" w:space="0" w:color="auto"/>
              <w:left w:val="single" w:sz="4" w:space="0" w:color="auto"/>
              <w:bottom w:val="single" w:sz="4" w:space="0" w:color="auto"/>
              <w:right w:val="single" w:sz="4" w:space="0" w:color="auto"/>
            </w:tcBorders>
            <w:hideMark/>
          </w:tcPr>
          <w:p w:rsidR="00B763D6" w:rsidRPr="006E0441" w:rsidRDefault="00B763D6">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787" w:type="dxa"/>
            <w:tcBorders>
              <w:top w:val="single" w:sz="4" w:space="0" w:color="auto"/>
              <w:left w:val="single" w:sz="4" w:space="0" w:color="auto"/>
              <w:bottom w:val="single" w:sz="4" w:space="0" w:color="auto"/>
              <w:right w:val="single" w:sz="4" w:space="0" w:color="auto"/>
            </w:tcBorders>
            <w:hideMark/>
          </w:tcPr>
          <w:p w:rsidR="00B763D6" w:rsidRPr="006E0441" w:rsidRDefault="00B763D6" w:rsidP="00B763D6">
            <w:pPr>
              <w:suppressAutoHyphens/>
              <w:spacing w:after="0"/>
              <w:rPr>
                <w:noProof/>
                <w:color w:val="000000"/>
                <w:sz w:val="12"/>
                <w:szCs w:val="12"/>
              </w:rPr>
            </w:pPr>
            <w:r w:rsidRPr="006E0441">
              <w:rPr>
                <w:noProof/>
                <w:color w:val="000000"/>
                <w:sz w:val="12"/>
                <w:szCs w:val="12"/>
              </w:rPr>
              <w:t>EUR</w:t>
            </w:r>
          </w:p>
        </w:tc>
        <w:tc>
          <w:tcPr>
            <w:tcW w:w="354" w:type="dxa"/>
            <w:tcBorders>
              <w:top w:val="single" w:sz="4" w:space="0" w:color="auto"/>
              <w:left w:val="single" w:sz="4" w:space="0" w:color="auto"/>
              <w:bottom w:val="single" w:sz="4" w:space="0" w:color="auto"/>
              <w:right w:val="single" w:sz="4" w:space="0" w:color="auto"/>
            </w:tcBorders>
            <w:hideMark/>
          </w:tcPr>
          <w:p w:rsidR="00B763D6" w:rsidRPr="006E0441" w:rsidRDefault="00B763D6" w:rsidP="00B763D6">
            <w:pPr>
              <w:spacing w:after="0"/>
              <w:jc w:val="right"/>
              <w:rPr>
                <w:sz w:val="12"/>
                <w:szCs w:val="12"/>
              </w:rPr>
            </w:pPr>
          </w:p>
        </w:tc>
        <w:tc>
          <w:tcPr>
            <w:tcW w:w="292"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pacing w:after="0"/>
              <w:jc w:val="right"/>
              <w:rPr>
                <w:sz w:val="12"/>
                <w:szCs w:val="12"/>
              </w:rPr>
            </w:pPr>
          </w:p>
        </w:tc>
        <w:tc>
          <w:tcPr>
            <w:tcW w:w="1534"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pacing w:after="0"/>
              <w:jc w:val="right"/>
              <w:rPr>
                <w:noProof/>
                <w:sz w:val="12"/>
                <w:szCs w:val="12"/>
              </w:rPr>
            </w:pPr>
            <w:r w:rsidRPr="006E0441">
              <w:rPr>
                <w:noProof/>
                <w:sz w:val="12"/>
                <w:szCs w:val="12"/>
              </w:rPr>
              <w:t>2.270.000,00</w:t>
            </w:r>
          </w:p>
        </w:tc>
        <w:tc>
          <w:tcPr>
            <w:tcW w:w="354"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jc w:val="right"/>
              <w:rPr>
                <w:noProof/>
                <w:sz w:val="12"/>
                <w:szCs w:val="12"/>
              </w:rPr>
            </w:pPr>
          </w:p>
        </w:tc>
        <w:tc>
          <w:tcPr>
            <w:tcW w:w="292"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jc w:val="right"/>
              <w:rPr>
                <w:noProof/>
                <w:sz w:val="12"/>
                <w:szCs w:val="12"/>
              </w:rPr>
            </w:pPr>
          </w:p>
        </w:tc>
        <w:tc>
          <w:tcPr>
            <w:tcW w:w="1654"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jc w:val="right"/>
              <w:rPr>
                <w:noProof/>
                <w:sz w:val="12"/>
                <w:szCs w:val="12"/>
              </w:rPr>
            </w:pPr>
            <w:r w:rsidRPr="006E0441">
              <w:rPr>
                <w:noProof/>
                <w:sz w:val="12"/>
                <w:szCs w:val="12"/>
              </w:rPr>
              <w:t>32.624.110,00</w:t>
            </w:r>
          </w:p>
        </w:tc>
      </w:tr>
      <w:tr w:rsidR="00B763D6" w:rsidRPr="006E0441" w:rsidTr="00F96696">
        <w:trPr>
          <w:trHeight w:val="291"/>
        </w:trPr>
        <w:tc>
          <w:tcPr>
            <w:tcW w:w="1271"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rPr>
                <w:noProof/>
                <w:color w:val="000000"/>
                <w:sz w:val="12"/>
                <w:szCs w:val="12"/>
              </w:rPr>
            </w:pPr>
            <w:r w:rsidRPr="006E0441">
              <w:rPr>
                <w:noProof/>
                <w:color w:val="000000"/>
                <w:sz w:val="12"/>
                <w:szCs w:val="12"/>
              </w:rPr>
              <w:t>04 - Trajnostna raba in proizvodnja energije in pametna omrežja</w:t>
            </w:r>
          </w:p>
        </w:tc>
        <w:tc>
          <w:tcPr>
            <w:tcW w:w="630" w:type="dxa"/>
            <w:tcBorders>
              <w:top w:val="single" w:sz="4" w:space="0" w:color="auto"/>
              <w:left w:val="single" w:sz="4" w:space="0" w:color="auto"/>
              <w:bottom w:val="single" w:sz="4" w:space="0" w:color="auto"/>
              <w:right w:val="single" w:sz="4" w:space="0" w:color="auto"/>
            </w:tcBorders>
          </w:tcPr>
          <w:p w:rsidR="00B763D6" w:rsidRPr="006E0441" w:rsidRDefault="00B763D6">
            <w:pPr>
              <w:suppressAutoHyphens/>
              <w:spacing w:after="0"/>
              <w:rPr>
                <w:noProof/>
                <w:color w:val="000000"/>
                <w:sz w:val="12"/>
                <w:szCs w:val="12"/>
              </w:rPr>
            </w:pPr>
            <w:r w:rsidRPr="006E0441">
              <w:rPr>
                <w:noProof/>
                <w:color w:val="000000"/>
                <w:sz w:val="12"/>
                <w:szCs w:val="12"/>
              </w:rPr>
              <w:t>ESRR</w:t>
            </w:r>
          </w:p>
        </w:tc>
        <w:tc>
          <w:tcPr>
            <w:tcW w:w="788"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pacing w:after="0"/>
              <w:rPr>
                <w:sz w:val="12"/>
                <w:szCs w:val="12"/>
              </w:rPr>
            </w:pPr>
            <w:r w:rsidRPr="006E0441">
              <w:rPr>
                <w:noProof/>
                <w:color w:val="000000"/>
                <w:sz w:val="10"/>
                <w:szCs w:val="10"/>
              </w:rPr>
              <w:t>Bolj razvite</w:t>
            </w:r>
          </w:p>
        </w:tc>
        <w:tc>
          <w:tcPr>
            <w:tcW w:w="1106"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787"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rPr>
                <w:noProof/>
                <w:color w:val="000000"/>
                <w:sz w:val="12"/>
                <w:szCs w:val="12"/>
              </w:rPr>
            </w:pPr>
            <w:r w:rsidRPr="006E0441">
              <w:rPr>
                <w:noProof/>
                <w:color w:val="000000"/>
                <w:sz w:val="12"/>
                <w:szCs w:val="12"/>
              </w:rPr>
              <w:t>EUR</w:t>
            </w:r>
          </w:p>
        </w:tc>
        <w:tc>
          <w:tcPr>
            <w:tcW w:w="354"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pacing w:after="0"/>
              <w:jc w:val="right"/>
              <w:rPr>
                <w:sz w:val="12"/>
                <w:szCs w:val="12"/>
              </w:rPr>
            </w:pPr>
          </w:p>
        </w:tc>
        <w:tc>
          <w:tcPr>
            <w:tcW w:w="292"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pacing w:after="0"/>
              <w:jc w:val="right"/>
              <w:rPr>
                <w:sz w:val="12"/>
                <w:szCs w:val="12"/>
              </w:rPr>
            </w:pPr>
          </w:p>
        </w:tc>
        <w:tc>
          <w:tcPr>
            <w:tcW w:w="1534"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pacing w:after="0"/>
              <w:jc w:val="right"/>
              <w:rPr>
                <w:noProof/>
                <w:sz w:val="12"/>
                <w:szCs w:val="12"/>
              </w:rPr>
            </w:pPr>
            <w:r w:rsidRPr="006E0441">
              <w:rPr>
                <w:noProof/>
                <w:sz w:val="12"/>
                <w:szCs w:val="12"/>
              </w:rPr>
              <w:t>2.500.000,00</w:t>
            </w:r>
          </w:p>
        </w:tc>
        <w:tc>
          <w:tcPr>
            <w:tcW w:w="354"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jc w:val="right"/>
              <w:rPr>
                <w:noProof/>
                <w:sz w:val="12"/>
                <w:szCs w:val="12"/>
              </w:rPr>
            </w:pPr>
          </w:p>
        </w:tc>
        <w:tc>
          <w:tcPr>
            <w:tcW w:w="292"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jc w:val="right"/>
              <w:rPr>
                <w:noProof/>
                <w:sz w:val="12"/>
                <w:szCs w:val="12"/>
              </w:rPr>
            </w:pPr>
          </w:p>
        </w:tc>
        <w:tc>
          <w:tcPr>
            <w:tcW w:w="1654"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jc w:val="right"/>
              <w:rPr>
                <w:noProof/>
                <w:sz w:val="12"/>
                <w:szCs w:val="12"/>
              </w:rPr>
            </w:pPr>
            <w:r w:rsidRPr="006E0441">
              <w:rPr>
                <w:noProof/>
                <w:sz w:val="12"/>
                <w:szCs w:val="12"/>
              </w:rPr>
              <w:t>22.416.140,00</w:t>
            </w:r>
          </w:p>
        </w:tc>
      </w:tr>
      <w:tr w:rsidR="00B763D6" w:rsidRPr="006E0441" w:rsidTr="00F96696">
        <w:trPr>
          <w:trHeight w:val="291"/>
        </w:trPr>
        <w:tc>
          <w:tcPr>
            <w:tcW w:w="1271"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rPr>
                <w:noProof/>
                <w:color w:val="000000"/>
                <w:sz w:val="12"/>
                <w:szCs w:val="12"/>
              </w:rPr>
            </w:pPr>
            <w:r w:rsidRPr="006E0441">
              <w:rPr>
                <w:noProof/>
                <w:color w:val="000000"/>
                <w:sz w:val="12"/>
                <w:szCs w:val="12"/>
              </w:rPr>
              <w:t>04 - Trajnostna raba in proizvodnja energije in pametna omrežja</w:t>
            </w:r>
          </w:p>
        </w:tc>
        <w:tc>
          <w:tcPr>
            <w:tcW w:w="630"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rPr>
                <w:noProof/>
                <w:color w:val="000000"/>
                <w:sz w:val="12"/>
                <w:szCs w:val="12"/>
              </w:rPr>
            </w:pPr>
            <w:r w:rsidRPr="006E0441">
              <w:rPr>
                <w:noProof/>
                <w:color w:val="000000"/>
                <w:sz w:val="12"/>
                <w:szCs w:val="12"/>
              </w:rPr>
              <w:t>Kohezijski sklad</w:t>
            </w:r>
          </w:p>
        </w:tc>
        <w:tc>
          <w:tcPr>
            <w:tcW w:w="788"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pacing w:after="0"/>
              <w:rPr>
                <w:sz w:val="12"/>
                <w:szCs w:val="12"/>
              </w:rPr>
            </w:pPr>
          </w:p>
        </w:tc>
        <w:tc>
          <w:tcPr>
            <w:tcW w:w="1106"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787"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rPr>
                <w:noProof/>
                <w:color w:val="000000"/>
                <w:sz w:val="12"/>
                <w:szCs w:val="12"/>
              </w:rPr>
            </w:pPr>
            <w:r w:rsidRPr="006E0441">
              <w:rPr>
                <w:noProof/>
                <w:color w:val="000000"/>
                <w:sz w:val="12"/>
                <w:szCs w:val="12"/>
              </w:rPr>
              <w:t>EUR</w:t>
            </w:r>
          </w:p>
        </w:tc>
        <w:tc>
          <w:tcPr>
            <w:tcW w:w="354"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pacing w:after="0"/>
              <w:jc w:val="right"/>
              <w:rPr>
                <w:sz w:val="12"/>
                <w:szCs w:val="12"/>
              </w:rPr>
            </w:pPr>
          </w:p>
        </w:tc>
        <w:tc>
          <w:tcPr>
            <w:tcW w:w="292"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pacing w:after="0"/>
              <w:jc w:val="right"/>
              <w:rPr>
                <w:sz w:val="12"/>
                <w:szCs w:val="12"/>
              </w:rPr>
            </w:pPr>
          </w:p>
        </w:tc>
        <w:tc>
          <w:tcPr>
            <w:tcW w:w="1534"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pacing w:after="0"/>
              <w:jc w:val="right"/>
              <w:rPr>
                <w:noProof/>
                <w:sz w:val="12"/>
                <w:szCs w:val="12"/>
              </w:rPr>
            </w:pPr>
            <w:r w:rsidRPr="006E0441">
              <w:rPr>
                <w:noProof/>
                <w:sz w:val="12"/>
                <w:szCs w:val="12"/>
              </w:rPr>
              <w:t>77.000.000,00</w:t>
            </w:r>
          </w:p>
        </w:tc>
        <w:tc>
          <w:tcPr>
            <w:tcW w:w="354"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jc w:val="right"/>
              <w:rPr>
                <w:color w:val="000000"/>
                <w:sz w:val="12"/>
                <w:szCs w:val="12"/>
              </w:rPr>
            </w:pPr>
          </w:p>
        </w:tc>
        <w:tc>
          <w:tcPr>
            <w:tcW w:w="292"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jc w:val="right"/>
              <w:rPr>
                <w:color w:val="000000"/>
                <w:sz w:val="12"/>
                <w:szCs w:val="12"/>
              </w:rPr>
            </w:pPr>
          </w:p>
        </w:tc>
        <w:tc>
          <w:tcPr>
            <w:tcW w:w="1654" w:type="dxa"/>
            <w:tcBorders>
              <w:top w:val="single" w:sz="4" w:space="0" w:color="auto"/>
              <w:left w:val="single" w:sz="4" w:space="0" w:color="auto"/>
              <w:bottom w:val="single" w:sz="4" w:space="0" w:color="auto"/>
              <w:right w:val="single" w:sz="4" w:space="0" w:color="auto"/>
            </w:tcBorders>
          </w:tcPr>
          <w:p w:rsidR="00B763D6" w:rsidRPr="006E0441" w:rsidRDefault="00B763D6" w:rsidP="00B763D6">
            <w:pPr>
              <w:suppressAutoHyphens/>
              <w:spacing w:after="0"/>
              <w:jc w:val="right"/>
              <w:rPr>
                <w:noProof/>
                <w:color w:val="000000"/>
                <w:sz w:val="12"/>
                <w:szCs w:val="12"/>
              </w:rPr>
            </w:pPr>
            <w:r w:rsidRPr="006E0441">
              <w:rPr>
                <w:noProof/>
                <w:color w:val="000000"/>
                <w:sz w:val="12"/>
                <w:szCs w:val="12"/>
              </w:rPr>
              <w:t>306.597.412,00</w:t>
            </w:r>
          </w:p>
        </w:tc>
      </w:tr>
    </w:tbl>
    <w:p w:rsidR="004C64D6" w:rsidRPr="006E0441" w:rsidRDefault="004C64D6" w:rsidP="004C64D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1340"/>
        <w:gridCol w:w="908"/>
        <w:gridCol w:w="788"/>
        <w:gridCol w:w="1325"/>
        <w:gridCol w:w="376"/>
        <w:gridCol w:w="310"/>
        <w:gridCol w:w="967"/>
        <w:gridCol w:w="937"/>
        <w:gridCol w:w="1060"/>
      </w:tblGrid>
      <w:tr w:rsidR="00F465CE" w:rsidRPr="006E0441" w:rsidTr="00272D2A">
        <w:trPr>
          <w:cantSplit/>
          <w:trHeight w:val="288"/>
          <w:tblHeader/>
        </w:trPr>
        <w:tc>
          <w:tcPr>
            <w:tcW w:w="0" w:type="auto"/>
            <w:gridSpan w:val="2"/>
            <w:shd w:val="clear" w:color="auto" w:fill="auto"/>
          </w:tcPr>
          <w:p w:rsidR="00F465CE" w:rsidRPr="006E0441" w:rsidRDefault="00F465CE" w:rsidP="00F96696">
            <w:pPr>
              <w:spacing w:after="0"/>
              <w:jc w:val="center"/>
              <w:rPr>
                <w:b/>
                <w:noProof/>
                <w:sz w:val="16"/>
                <w:szCs w:val="16"/>
              </w:rPr>
            </w:pPr>
            <w:bookmarkStart w:id="12" w:name="_Toc256000126"/>
            <w:r w:rsidRPr="006E0441">
              <w:rPr>
                <w:b/>
                <w:noProof/>
                <w:sz w:val="16"/>
                <w:szCs w:val="16"/>
              </w:rPr>
              <w:t>Prednostna naložba</w:t>
            </w:r>
            <w:bookmarkEnd w:id="12"/>
          </w:p>
        </w:tc>
        <w:tc>
          <w:tcPr>
            <w:tcW w:w="0" w:type="auto"/>
            <w:gridSpan w:val="8"/>
            <w:shd w:val="clear" w:color="auto" w:fill="auto"/>
          </w:tcPr>
          <w:p w:rsidR="00F465CE" w:rsidRPr="006E0441" w:rsidRDefault="00F465CE" w:rsidP="00F96696">
            <w:pPr>
              <w:spacing w:after="0"/>
              <w:jc w:val="center"/>
              <w:rPr>
                <w:b/>
                <w:noProof/>
                <w:sz w:val="16"/>
                <w:szCs w:val="16"/>
              </w:rPr>
            </w:pPr>
            <w:bookmarkStart w:id="13" w:name="_Toc256000127"/>
            <w:r w:rsidRPr="006E0441">
              <w:rPr>
                <w:b/>
                <w:noProof/>
                <w:sz w:val="16"/>
                <w:szCs w:val="16"/>
              </w:rPr>
              <w:t>4iii - Spodbujanje energetske učinkovitosti, pametnega upravljanja z energijo in uporabe energije iz obnovljivih virov v javni infrastrukturi, vključno z javnimi stavbami, in stanovanjskem sektorju</w:t>
            </w:r>
            <w:bookmarkEnd w:id="13"/>
          </w:p>
        </w:tc>
      </w:tr>
      <w:tr w:rsidR="003346FA" w:rsidRPr="006E0441" w:rsidTr="00272D2A">
        <w:trPr>
          <w:cantSplit/>
          <w:trHeight w:val="288"/>
          <w:tblHeader/>
        </w:trPr>
        <w:tc>
          <w:tcPr>
            <w:tcW w:w="0" w:type="auto"/>
            <w:vMerge w:val="restart"/>
            <w:shd w:val="clear" w:color="auto" w:fill="auto"/>
          </w:tcPr>
          <w:p w:rsidR="00F465CE" w:rsidRPr="006E0441" w:rsidRDefault="00F465CE" w:rsidP="00272D2A">
            <w:pPr>
              <w:spacing w:after="0"/>
              <w:jc w:val="center"/>
              <w:rPr>
                <w:b/>
                <w:noProof/>
                <w:sz w:val="16"/>
                <w:szCs w:val="16"/>
              </w:rPr>
            </w:pPr>
            <w:r w:rsidRPr="006E0441">
              <w:rPr>
                <w:b/>
                <w:noProof/>
                <w:sz w:val="16"/>
                <w:szCs w:val="16"/>
              </w:rPr>
              <w:t>Identifikator</w:t>
            </w:r>
          </w:p>
        </w:tc>
        <w:tc>
          <w:tcPr>
            <w:tcW w:w="0" w:type="auto"/>
            <w:vMerge w:val="restart"/>
            <w:shd w:val="clear" w:color="auto" w:fill="auto"/>
          </w:tcPr>
          <w:p w:rsidR="00F465CE" w:rsidRPr="006E0441" w:rsidRDefault="00F465CE" w:rsidP="00272D2A">
            <w:pPr>
              <w:spacing w:after="0"/>
              <w:jc w:val="center"/>
              <w:rPr>
                <w:b/>
                <w:noProof/>
                <w:sz w:val="16"/>
                <w:szCs w:val="16"/>
              </w:rPr>
            </w:pPr>
            <w:r w:rsidRPr="006E0441">
              <w:rPr>
                <w:b/>
                <w:noProof/>
                <w:sz w:val="16"/>
                <w:szCs w:val="16"/>
              </w:rPr>
              <w:t>Kazalnik</w:t>
            </w:r>
          </w:p>
        </w:tc>
        <w:tc>
          <w:tcPr>
            <w:tcW w:w="0" w:type="auto"/>
            <w:vMerge w:val="restart"/>
            <w:shd w:val="clear" w:color="auto" w:fill="auto"/>
          </w:tcPr>
          <w:p w:rsidR="00F465CE" w:rsidRPr="006E0441" w:rsidRDefault="00F465CE" w:rsidP="00272D2A">
            <w:pPr>
              <w:spacing w:after="0"/>
              <w:jc w:val="center"/>
              <w:rPr>
                <w:b/>
                <w:noProof/>
                <w:sz w:val="16"/>
                <w:szCs w:val="16"/>
              </w:rPr>
            </w:pPr>
            <w:r w:rsidRPr="006E0441">
              <w:rPr>
                <w:b/>
                <w:noProof/>
                <w:sz w:val="16"/>
                <w:szCs w:val="16"/>
              </w:rPr>
              <w:t>Merska enota</w:t>
            </w:r>
          </w:p>
        </w:tc>
        <w:tc>
          <w:tcPr>
            <w:tcW w:w="0" w:type="auto"/>
            <w:vMerge w:val="restart"/>
            <w:shd w:val="clear" w:color="auto" w:fill="auto"/>
          </w:tcPr>
          <w:p w:rsidR="00F465CE" w:rsidRPr="006E0441" w:rsidRDefault="00F465CE" w:rsidP="00272D2A">
            <w:pPr>
              <w:spacing w:after="0"/>
              <w:jc w:val="center"/>
              <w:rPr>
                <w:b/>
                <w:noProof/>
                <w:sz w:val="16"/>
                <w:szCs w:val="16"/>
              </w:rPr>
            </w:pPr>
            <w:r w:rsidRPr="006E0441">
              <w:rPr>
                <w:b/>
                <w:noProof/>
                <w:sz w:val="16"/>
                <w:szCs w:val="16"/>
              </w:rPr>
              <w:t>Sklad</w:t>
            </w:r>
          </w:p>
        </w:tc>
        <w:tc>
          <w:tcPr>
            <w:tcW w:w="0" w:type="auto"/>
            <w:vMerge w:val="restart"/>
            <w:shd w:val="clear" w:color="auto" w:fill="auto"/>
          </w:tcPr>
          <w:p w:rsidR="00F465CE" w:rsidRPr="006E0441" w:rsidRDefault="00F465CE" w:rsidP="00272D2A">
            <w:pPr>
              <w:spacing w:after="0"/>
              <w:jc w:val="center"/>
              <w:rPr>
                <w:b/>
                <w:noProof/>
                <w:sz w:val="16"/>
                <w:szCs w:val="16"/>
              </w:rPr>
            </w:pPr>
            <w:r w:rsidRPr="006E0441">
              <w:rPr>
                <w:b/>
                <w:noProof/>
                <w:sz w:val="16"/>
                <w:szCs w:val="16"/>
              </w:rPr>
              <w:t>Kategorija regije (če je relevantno)</w:t>
            </w:r>
          </w:p>
        </w:tc>
        <w:tc>
          <w:tcPr>
            <w:tcW w:w="0" w:type="auto"/>
            <w:gridSpan w:val="3"/>
            <w:shd w:val="clear" w:color="auto" w:fill="auto"/>
          </w:tcPr>
          <w:p w:rsidR="00F465CE" w:rsidRPr="006E0441" w:rsidRDefault="00F465CE" w:rsidP="00272D2A">
            <w:pPr>
              <w:spacing w:after="0"/>
              <w:jc w:val="center"/>
              <w:rPr>
                <w:b/>
                <w:noProof/>
                <w:sz w:val="16"/>
                <w:szCs w:val="16"/>
              </w:rPr>
            </w:pPr>
            <w:r w:rsidRPr="006E0441">
              <w:rPr>
                <w:b/>
                <w:noProof/>
                <w:sz w:val="16"/>
                <w:szCs w:val="16"/>
              </w:rPr>
              <w:t>Ciljna vrednost (za leto 2023)</w:t>
            </w:r>
          </w:p>
        </w:tc>
        <w:tc>
          <w:tcPr>
            <w:tcW w:w="0" w:type="auto"/>
            <w:vMerge w:val="restart"/>
            <w:shd w:val="clear" w:color="auto" w:fill="auto"/>
          </w:tcPr>
          <w:p w:rsidR="00F465CE" w:rsidRPr="006E0441" w:rsidRDefault="00F465CE" w:rsidP="00272D2A">
            <w:pPr>
              <w:spacing w:after="0"/>
              <w:jc w:val="center"/>
              <w:rPr>
                <w:b/>
                <w:noProof/>
                <w:sz w:val="16"/>
                <w:szCs w:val="16"/>
              </w:rPr>
            </w:pPr>
            <w:r w:rsidRPr="006E0441">
              <w:rPr>
                <w:b/>
                <w:noProof/>
                <w:sz w:val="16"/>
                <w:szCs w:val="16"/>
              </w:rPr>
              <w:t>Vir podatkov</w:t>
            </w:r>
          </w:p>
        </w:tc>
        <w:tc>
          <w:tcPr>
            <w:tcW w:w="0" w:type="auto"/>
            <w:vMerge w:val="restart"/>
            <w:shd w:val="clear" w:color="auto" w:fill="auto"/>
          </w:tcPr>
          <w:p w:rsidR="00F465CE" w:rsidRPr="006E0441" w:rsidRDefault="00F465CE" w:rsidP="00272D2A">
            <w:pPr>
              <w:spacing w:after="0"/>
              <w:jc w:val="center"/>
              <w:rPr>
                <w:b/>
                <w:noProof/>
                <w:sz w:val="16"/>
                <w:szCs w:val="16"/>
              </w:rPr>
            </w:pPr>
            <w:r w:rsidRPr="006E0441">
              <w:rPr>
                <w:b/>
                <w:noProof/>
                <w:sz w:val="16"/>
                <w:szCs w:val="16"/>
              </w:rPr>
              <w:t>Pogostost poročanja</w:t>
            </w:r>
          </w:p>
        </w:tc>
      </w:tr>
      <w:tr w:rsidR="003346FA" w:rsidRPr="006E0441" w:rsidTr="00272D2A">
        <w:trPr>
          <w:cantSplit/>
          <w:trHeight w:val="288"/>
          <w:tblHeader/>
        </w:trPr>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M</w:t>
            </w:r>
          </w:p>
        </w:tc>
        <w:tc>
          <w:tcPr>
            <w:tcW w:w="0" w:type="auto"/>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Ž</w:t>
            </w:r>
          </w:p>
        </w:tc>
        <w:tc>
          <w:tcPr>
            <w:tcW w:w="0" w:type="auto"/>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Skupaj</w:t>
            </w: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r>
      <w:tr w:rsidR="003346FA" w:rsidRPr="006E0441" w:rsidTr="00272D2A">
        <w:trPr>
          <w:trHeight w:val="288"/>
        </w:trPr>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4.41</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Skupna tlorisna površina energetsko prenovljenih stavb javnega sektorja</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m2</w:t>
            </w:r>
          </w:p>
        </w:tc>
        <w:tc>
          <w:tcPr>
            <w:tcW w:w="0" w:type="auto"/>
            <w:shd w:val="clear" w:color="auto" w:fill="auto"/>
          </w:tcPr>
          <w:p w:rsidR="00F465CE" w:rsidRPr="006E0441" w:rsidRDefault="00F465CE" w:rsidP="00F96696">
            <w:pPr>
              <w:pStyle w:val="Text1"/>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Kohezijski sklad</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 xml:space="preserve"> </w:t>
            </w: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r w:rsidRPr="006E0441">
              <w:rPr>
                <w:noProof/>
                <w:color w:val="000000"/>
                <w:sz w:val="12"/>
                <w:szCs w:val="12"/>
              </w:rPr>
              <w:t>1.271.160,00</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AU-URE 2020</w:t>
            </w:r>
          </w:p>
        </w:tc>
        <w:tc>
          <w:tcPr>
            <w:tcW w:w="0" w:type="auto"/>
            <w:shd w:val="clear" w:color="auto" w:fill="auto"/>
          </w:tcPr>
          <w:p w:rsidR="00F465CE" w:rsidRPr="006E0441" w:rsidRDefault="00F465CE" w:rsidP="00F96696">
            <w:pPr>
              <w:pStyle w:val="Text2"/>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letno</w:t>
            </w:r>
          </w:p>
        </w:tc>
      </w:tr>
      <w:tr w:rsidR="003346FA" w:rsidRPr="006E0441" w:rsidTr="00272D2A">
        <w:trPr>
          <w:trHeight w:val="288"/>
        </w:trPr>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CO32</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Energetska učinkovitost: Zmanjšanje letne porabe primarne energije v javnih stavbah</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kWh/leto</w:t>
            </w:r>
          </w:p>
        </w:tc>
        <w:tc>
          <w:tcPr>
            <w:tcW w:w="0" w:type="auto"/>
            <w:shd w:val="clear" w:color="auto" w:fill="auto"/>
          </w:tcPr>
          <w:p w:rsidR="00F465CE" w:rsidRPr="006E0441" w:rsidRDefault="00F465CE" w:rsidP="00F96696">
            <w:pPr>
              <w:pStyle w:val="Text1"/>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Kohezijski sklad</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 xml:space="preserve"> </w:t>
            </w: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r w:rsidRPr="006E0441">
              <w:rPr>
                <w:noProof/>
                <w:color w:val="000000"/>
                <w:sz w:val="12"/>
                <w:szCs w:val="12"/>
              </w:rPr>
              <w:t>16.242.600,00</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Izvedbeni organ</w:t>
            </w:r>
          </w:p>
        </w:tc>
        <w:tc>
          <w:tcPr>
            <w:tcW w:w="0" w:type="auto"/>
            <w:shd w:val="clear" w:color="auto" w:fill="auto"/>
          </w:tcPr>
          <w:p w:rsidR="00F465CE" w:rsidRPr="006E0441" w:rsidRDefault="00F465CE" w:rsidP="00F96696">
            <w:pPr>
              <w:pStyle w:val="Text2"/>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Enkrat letno</w:t>
            </w:r>
          </w:p>
        </w:tc>
      </w:tr>
      <w:tr w:rsidR="003346FA" w:rsidRPr="006E0441" w:rsidTr="00272D2A">
        <w:trPr>
          <w:trHeight w:val="288"/>
        </w:trPr>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CO34</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Zmanjšanje emisij toplogrednih plinov: Ocenjeno letno zmanjšanje emisij toplogrednih plinov</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Tone ekvivalenta CO2</w:t>
            </w:r>
          </w:p>
        </w:tc>
        <w:tc>
          <w:tcPr>
            <w:tcW w:w="0" w:type="auto"/>
            <w:shd w:val="clear" w:color="auto" w:fill="auto"/>
          </w:tcPr>
          <w:p w:rsidR="00F465CE" w:rsidRPr="006E0441" w:rsidRDefault="00F465CE" w:rsidP="00F96696">
            <w:pPr>
              <w:pStyle w:val="Text1"/>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Kohezijski sklad</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 xml:space="preserve"> </w:t>
            </w: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r w:rsidRPr="006E0441">
              <w:rPr>
                <w:noProof/>
                <w:color w:val="000000"/>
                <w:sz w:val="12"/>
                <w:szCs w:val="12"/>
              </w:rPr>
              <w:t>22.598,00</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Izvedbeni organ</w:t>
            </w:r>
          </w:p>
        </w:tc>
        <w:tc>
          <w:tcPr>
            <w:tcW w:w="0" w:type="auto"/>
            <w:shd w:val="clear" w:color="auto" w:fill="auto"/>
          </w:tcPr>
          <w:p w:rsidR="00F465CE" w:rsidRPr="006E0441" w:rsidRDefault="00F465CE" w:rsidP="00F96696">
            <w:pPr>
              <w:pStyle w:val="Text2"/>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letno</w:t>
            </w:r>
          </w:p>
        </w:tc>
      </w:tr>
    </w:tbl>
    <w:p w:rsidR="00F465CE" w:rsidRPr="006E0441" w:rsidRDefault="00F465CE" w:rsidP="004C64D6"/>
    <w:p w:rsidR="00373D81" w:rsidRPr="006E0441" w:rsidRDefault="00373D81" w:rsidP="004C64D6">
      <w:pPr>
        <w:rPr>
          <w:b/>
          <w:noProof/>
        </w:rPr>
      </w:pPr>
    </w:p>
    <w:p w:rsidR="00373D81" w:rsidRPr="006E0441" w:rsidRDefault="00373D81" w:rsidP="004C64D6">
      <w:pPr>
        <w:rPr>
          <w:b/>
          <w:noProof/>
        </w:rPr>
      </w:pPr>
    </w:p>
    <w:p w:rsidR="00373D81" w:rsidRPr="006E0441" w:rsidRDefault="00373D81" w:rsidP="004C64D6">
      <w:pPr>
        <w:rPr>
          <w:b/>
          <w:noProof/>
        </w:rPr>
      </w:pPr>
    </w:p>
    <w:p w:rsidR="00373D81" w:rsidRPr="006E0441" w:rsidRDefault="00373D81" w:rsidP="004C64D6">
      <w:pPr>
        <w:rPr>
          <w:b/>
          <w:noProof/>
        </w:rPr>
      </w:pPr>
    </w:p>
    <w:p w:rsidR="004C64D6" w:rsidRPr="006E0441" w:rsidRDefault="004C64D6" w:rsidP="004C64D6">
      <w:pPr>
        <w:rPr>
          <w:b/>
          <w:noProof/>
        </w:rPr>
      </w:pPr>
      <w:r w:rsidRPr="006E0441">
        <w:rPr>
          <w:b/>
          <w:noProof/>
        </w:rPr>
        <w:lastRenderedPageBreak/>
        <w:t>Predlog OP 6.0</w:t>
      </w:r>
    </w:p>
    <w:tbl>
      <w:tblPr>
        <w:tblW w:w="45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981"/>
        <w:gridCol w:w="822"/>
        <w:gridCol w:w="933"/>
        <w:gridCol w:w="1197"/>
        <w:gridCol w:w="990"/>
        <w:gridCol w:w="356"/>
        <w:gridCol w:w="293"/>
        <w:gridCol w:w="915"/>
        <w:gridCol w:w="377"/>
        <w:gridCol w:w="307"/>
        <w:gridCol w:w="1059"/>
      </w:tblGrid>
      <w:tr w:rsidR="007B5EFD" w:rsidRPr="006E0441" w:rsidTr="00F96696">
        <w:trPr>
          <w:trHeight w:val="244"/>
          <w:tblHeader/>
        </w:trPr>
        <w:tc>
          <w:tcPr>
            <w:tcW w:w="5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D6" w:rsidRPr="006E0441" w:rsidRDefault="004C64D6" w:rsidP="004C797B">
            <w:pPr>
              <w:spacing w:after="0"/>
              <w:jc w:val="center"/>
              <w:rPr>
                <w:b/>
                <w:sz w:val="16"/>
                <w:szCs w:val="16"/>
              </w:rPr>
            </w:pPr>
            <w:r w:rsidRPr="006E0441">
              <w:rPr>
                <w:b/>
                <w:noProof/>
                <w:sz w:val="16"/>
                <w:szCs w:val="16"/>
              </w:rPr>
              <w:t>Prednostna os</w:t>
            </w:r>
          </w:p>
        </w:tc>
        <w:tc>
          <w:tcPr>
            <w:tcW w:w="5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D6" w:rsidRPr="006E0441" w:rsidRDefault="004C64D6" w:rsidP="004C797B">
            <w:pPr>
              <w:spacing w:after="0"/>
              <w:jc w:val="center"/>
              <w:rPr>
                <w:b/>
                <w:color w:val="FF0000"/>
                <w:sz w:val="16"/>
                <w:szCs w:val="16"/>
              </w:rPr>
            </w:pPr>
            <w:r w:rsidRPr="006E0441">
              <w:rPr>
                <w:b/>
                <w:noProof/>
                <w:sz w:val="16"/>
                <w:szCs w:val="16"/>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D6" w:rsidRPr="006E0441" w:rsidRDefault="004C64D6" w:rsidP="004C797B">
            <w:pPr>
              <w:spacing w:after="0"/>
              <w:jc w:val="center"/>
              <w:rPr>
                <w:b/>
                <w:color w:val="FF0000"/>
                <w:sz w:val="16"/>
                <w:szCs w:val="16"/>
              </w:rPr>
            </w:pPr>
            <w:r w:rsidRPr="006E0441">
              <w:rPr>
                <w:b/>
                <w:noProof/>
                <w:sz w:val="16"/>
                <w:szCs w:val="16"/>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D6" w:rsidRPr="006E0441" w:rsidRDefault="004C64D6" w:rsidP="004C797B">
            <w:pPr>
              <w:spacing w:after="0"/>
              <w:jc w:val="center"/>
              <w:rPr>
                <w:b/>
                <w:color w:val="FF0000"/>
                <w:sz w:val="16"/>
                <w:szCs w:val="16"/>
              </w:rPr>
            </w:pPr>
            <w:r w:rsidRPr="006E0441">
              <w:rPr>
                <w:b/>
                <w:noProof/>
                <w:sz w:val="16"/>
                <w:szCs w:val="16"/>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D6" w:rsidRPr="006E0441" w:rsidRDefault="004C64D6" w:rsidP="004C797B">
            <w:pPr>
              <w:spacing w:after="0"/>
              <w:jc w:val="center"/>
              <w:rPr>
                <w:b/>
                <w:color w:val="FF0000"/>
                <w:sz w:val="16"/>
                <w:szCs w:val="16"/>
              </w:rPr>
            </w:pPr>
            <w:r w:rsidRPr="006E0441">
              <w:rPr>
                <w:b/>
                <w:noProof/>
                <w:sz w:val="16"/>
                <w:szCs w:val="16"/>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4C64D6" w:rsidRPr="006E0441" w:rsidRDefault="004C64D6" w:rsidP="004C797B">
            <w:pPr>
              <w:spacing w:after="0"/>
              <w:jc w:val="center"/>
              <w:rPr>
                <w:b/>
                <w:color w:val="FF0000"/>
                <w:sz w:val="16"/>
                <w:szCs w:val="16"/>
              </w:rPr>
            </w:pPr>
            <w:r w:rsidRPr="006E0441">
              <w:rPr>
                <w:b/>
                <w:noProof/>
                <w:sz w:val="16"/>
                <w:szCs w:val="16"/>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4C64D6" w:rsidRPr="006E0441" w:rsidRDefault="004C64D6" w:rsidP="004C797B">
            <w:pPr>
              <w:spacing w:after="0"/>
              <w:jc w:val="center"/>
              <w:rPr>
                <w:b/>
                <w:color w:val="FF0000"/>
                <w:sz w:val="16"/>
                <w:szCs w:val="16"/>
              </w:rPr>
            </w:pPr>
            <w:r w:rsidRPr="006E0441">
              <w:rPr>
                <w:b/>
                <w:noProof/>
                <w:sz w:val="16"/>
                <w:szCs w:val="16"/>
              </w:rPr>
              <w:t>Končna ciljna vrednost (za leto 2023)</w:t>
            </w:r>
          </w:p>
        </w:tc>
      </w:tr>
      <w:tr w:rsidR="007B5EFD" w:rsidRPr="006E0441" w:rsidTr="00F96696">
        <w:trPr>
          <w:trHeight w:val="244"/>
          <w:tblHeader/>
        </w:trPr>
        <w:tc>
          <w:tcPr>
            <w:tcW w:w="530" w:type="pct"/>
            <w:vMerge/>
            <w:tcBorders>
              <w:top w:val="single" w:sz="4" w:space="0" w:color="auto"/>
              <w:left w:val="single" w:sz="4" w:space="0" w:color="auto"/>
              <w:bottom w:val="single" w:sz="4" w:space="0" w:color="auto"/>
              <w:right w:val="single" w:sz="4" w:space="0" w:color="auto"/>
            </w:tcBorders>
            <w:vAlign w:val="center"/>
            <w:hideMark/>
          </w:tcPr>
          <w:p w:rsidR="004C64D6" w:rsidRPr="006E0441" w:rsidRDefault="004C64D6" w:rsidP="004C797B">
            <w:pPr>
              <w:spacing w:after="0"/>
              <w:rPr>
                <w:b/>
                <w:sz w:val="16"/>
                <w:szCs w:val="16"/>
              </w:rPr>
            </w:pPr>
          </w:p>
        </w:tc>
        <w:tc>
          <w:tcPr>
            <w:tcW w:w="509" w:type="pct"/>
            <w:vMerge/>
            <w:tcBorders>
              <w:top w:val="single" w:sz="4" w:space="0" w:color="auto"/>
              <w:left w:val="single" w:sz="4" w:space="0" w:color="auto"/>
              <w:bottom w:val="single" w:sz="4" w:space="0" w:color="auto"/>
              <w:right w:val="single" w:sz="4" w:space="0" w:color="auto"/>
            </w:tcBorders>
            <w:vAlign w:val="center"/>
            <w:hideMark/>
          </w:tcPr>
          <w:p w:rsidR="004C64D6" w:rsidRPr="006E0441" w:rsidRDefault="004C64D6" w:rsidP="004C797B">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C64D6" w:rsidRPr="006E0441" w:rsidRDefault="004C64D6" w:rsidP="004C797B">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C64D6" w:rsidRPr="006E0441" w:rsidRDefault="004C64D6" w:rsidP="004C797B">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C64D6" w:rsidRPr="006E0441" w:rsidRDefault="004C64D6" w:rsidP="004C797B">
            <w:pPr>
              <w:spacing w:after="0"/>
              <w:rPr>
                <w:b/>
                <w:color w:val="FF0000"/>
                <w:sz w:val="16"/>
                <w:szCs w:val="16"/>
              </w:rPr>
            </w:pPr>
          </w:p>
        </w:tc>
        <w:tc>
          <w:tcPr>
            <w:tcW w:w="0" w:type="auto"/>
            <w:tcBorders>
              <w:left w:val="single" w:sz="4" w:space="0" w:color="auto"/>
              <w:bottom w:val="single" w:sz="4" w:space="0" w:color="auto"/>
              <w:right w:val="single" w:sz="4" w:space="0" w:color="auto"/>
            </w:tcBorders>
            <w:shd w:val="clear" w:color="auto" w:fill="auto"/>
          </w:tcPr>
          <w:p w:rsidR="004C64D6" w:rsidRPr="006E0441" w:rsidRDefault="00247554" w:rsidP="004C797B">
            <w:pPr>
              <w:spacing w:after="0"/>
              <w:jc w:val="center"/>
              <w:rPr>
                <w:b/>
                <w:sz w:val="16"/>
                <w:szCs w:val="16"/>
              </w:rPr>
            </w:pPr>
            <w:r w:rsidRPr="006E0441">
              <w:rPr>
                <w:b/>
                <w:sz w:val="16"/>
                <w:szCs w:val="16"/>
              </w:rPr>
              <w:t>M</w:t>
            </w:r>
          </w:p>
        </w:tc>
        <w:tc>
          <w:tcPr>
            <w:tcW w:w="0" w:type="auto"/>
            <w:tcBorders>
              <w:left w:val="single" w:sz="4" w:space="0" w:color="auto"/>
              <w:bottom w:val="single" w:sz="4" w:space="0" w:color="auto"/>
              <w:right w:val="single" w:sz="4" w:space="0" w:color="auto"/>
            </w:tcBorders>
            <w:shd w:val="clear" w:color="auto" w:fill="auto"/>
          </w:tcPr>
          <w:p w:rsidR="004C64D6" w:rsidRPr="006E0441" w:rsidRDefault="00247554" w:rsidP="004C797B">
            <w:pPr>
              <w:spacing w:after="0"/>
              <w:jc w:val="center"/>
              <w:rPr>
                <w:b/>
                <w:sz w:val="16"/>
                <w:szCs w:val="16"/>
              </w:rPr>
            </w:pPr>
            <w:r w:rsidRPr="006E0441">
              <w:rPr>
                <w:b/>
                <w:sz w:val="16"/>
                <w:szCs w:val="16"/>
              </w:rPr>
              <w:t>Ž</w:t>
            </w:r>
          </w:p>
        </w:tc>
        <w:tc>
          <w:tcPr>
            <w:tcW w:w="0" w:type="auto"/>
            <w:tcBorders>
              <w:left w:val="single" w:sz="4" w:space="0" w:color="auto"/>
              <w:bottom w:val="single" w:sz="4" w:space="0" w:color="auto"/>
              <w:right w:val="single" w:sz="4" w:space="0" w:color="auto"/>
            </w:tcBorders>
            <w:shd w:val="clear" w:color="auto" w:fill="auto"/>
          </w:tcPr>
          <w:p w:rsidR="004C64D6" w:rsidRPr="006E0441" w:rsidRDefault="004C64D6" w:rsidP="004C797B">
            <w:pPr>
              <w:spacing w:after="0"/>
              <w:jc w:val="center"/>
              <w:rPr>
                <w:b/>
                <w:sz w:val="16"/>
                <w:szCs w:val="16"/>
              </w:rPr>
            </w:pPr>
            <w:r w:rsidRPr="006E0441">
              <w:rPr>
                <w:b/>
                <w:noProof/>
                <w:sz w:val="16"/>
                <w:szCs w:val="16"/>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C64D6" w:rsidRPr="006E0441" w:rsidRDefault="00247554" w:rsidP="004C797B">
            <w:pPr>
              <w:spacing w:after="0"/>
              <w:jc w:val="center"/>
              <w:rPr>
                <w:b/>
                <w:sz w:val="16"/>
                <w:szCs w:val="16"/>
              </w:rPr>
            </w:pPr>
            <w:r w:rsidRPr="006E0441">
              <w:rPr>
                <w:b/>
                <w:sz w:val="16"/>
                <w:szCs w:val="16"/>
              </w:rPr>
              <w:t>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C64D6" w:rsidRPr="006E0441" w:rsidRDefault="00247554" w:rsidP="004C797B">
            <w:pPr>
              <w:spacing w:after="0"/>
              <w:jc w:val="center"/>
              <w:rPr>
                <w:b/>
                <w:sz w:val="16"/>
                <w:szCs w:val="16"/>
              </w:rPr>
            </w:pPr>
            <w:r w:rsidRPr="006E0441">
              <w:rPr>
                <w:b/>
                <w:sz w:val="16"/>
                <w:szCs w:val="16"/>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C64D6" w:rsidRPr="006E0441" w:rsidRDefault="004C64D6" w:rsidP="004C797B">
            <w:pPr>
              <w:spacing w:after="0"/>
              <w:jc w:val="center"/>
              <w:rPr>
                <w:b/>
                <w:sz w:val="16"/>
                <w:szCs w:val="16"/>
              </w:rPr>
            </w:pPr>
            <w:r w:rsidRPr="006E0441">
              <w:rPr>
                <w:b/>
                <w:noProof/>
                <w:sz w:val="16"/>
                <w:szCs w:val="16"/>
              </w:rPr>
              <w:t>Skupaj</w:t>
            </w:r>
          </w:p>
        </w:tc>
      </w:tr>
      <w:tr w:rsidR="007B5EFD" w:rsidRPr="006E0441" w:rsidTr="00F96696">
        <w:trPr>
          <w:trHeight w:val="193"/>
        </w:trPr>
        <w:tc>
          <w:tcPr>
            <w:tcW w:w="530" w:type="pct"/>
            <w:tcBorders>
              <w:top w:val="single" w:sz="4" w:space="0" w:color="auto"/>
              <w:left w:val="single" w:sz="4" w:space="0" w:color="auto"/>
              <w:bottom w:val="single" w:sz="4" w:space="0" w:color="auto"/>
              <w:right w:val="single" w:sz="4" w:space="0" w:color="auto"/>
            </w:tcBorders>
            <w:hideMark/>
          </w:tcPr>
          <w:p w:rsidR="00771D0C" w:rsidRPr="006E0441" w:rsidRDefault="00771D0C" w:rsidP="00771D0C">
            <w:pPr>
              <w:suppressAutoHyphens/>
              <w:spacing w:after="0"/>
              <w:rPr>
                <w:sz w:val="12"/>
                <w:szCs w:val="12"/>
              </w:rPr>
            </w:pPr>
            <w:r w:rsidRPr="006E0441">
              <w:rPr>
                <w:noProof/>
                <w:color w:val="000000"/>
                <w:sz w:val="12"/>
                <w:szCs w:val="12"/>
              </w:rPr>
              <w:t>04 - Trajnostna raba in proizvodnja energije in pametna omrežja</w:t>
            </w:r>
          </w:p>
        </w:tc>
        <w:tc>
          <w:tcPr>
            <w:tcW w:w="509" w:type="pct"/>
            <w:tcBorders>
              <w:top w:val="single" w:sz="4" w:space="0" w:color="auto"/>
              <w:left w:val="single" w:sz="4" w:space="0" w:color="auto"/>
              <w:bottom w:val="single" w:sz="4" w:space="0" w:color="auto"/>
              <w:right w:val="single" w:sz="4" w:space="0" w:color="auto"/>
            </w:tcBorders>
            <w:hideMark/>
          </w:tcPr>
          <w:p w:rsidR="00771D0C" w:rsidRPr="006E0441" w:rsidRDefault="00771D0C" w:rsidP="00771D0C">
            <w:pPr>
              <w:suppressAutoHyphens/>
              <w:spacing w:after="0"/>
              <w:rPr>
                <w:noProof/>
                <w:color w:val="000000"/>
                <w:sz w:val="12"/>
                <w:szCs w:val="12"/>
              </w:rPr>
            </w:pPr>
            <w:r w:rsidRPr="006E0441">
              <w:rPr>
                <w:noProof/>
                <w:color w:val="000000"/>
                <w:sz w:val="12"/>
                <w:szCs w:val="12"/>
              </w:rPr>
              <w:t>ESRR</w:t>
            </w:r>
          </w:p>
        </w:tc>
        <w:tc>
          <w:tcPr>
            <w:tcW w:w="0" w:type="auto"/>
            <w:tcBorders>
              <w:top w:val="single" w:sz="4" w:space="0" w:color="auto"/>
              <w:left w:val="single" w:sz="4" w:space="0" w:color="auto"/>
              <w:bottom w:val="single" w:sz="4" w:space="0" w:color="auto"/>
              <w:right w:val="single" w:sz="4" w:space="0" w:color="auto"/>
            </w:tcBorders>
            <w:hideMark/>
          </w:tcPr>
          <w:p w:rsidR="00771D0C" w:rsidRPr="006E0441" w:rsidRDefault="00771D0C" w:rsidP="00771D0C">
            <w:pPr>
              <w:spacing w:after="0"/>
              <w:rPr>
                <w:sz w:val="12"/>
                <w:szCs w:val="12"/>
              </w:rPr>
            </w:pPr>
            <w:r w:rsidRPr="006E0441">
              <w:rPr>
                <w:noProof/>
                <w:color w:val="000000"/>
                <w:sz w:val="10"/>
                <w:szCs w:val="10"/>
              </w:rPr>
              <w:t>Manj razvite</w:t>
            </w:r>
          </w:p>
        </w:tc>
        <w:tc>
          <w:tcPr>
            <w:tcW w:w="0" w:type="auto"/>
            <w:tcBorders>
              <w:top w:val="single" w:sz="4" w:space="0" w:color="auto"/>
              <w:left w:val="single" w:sz="4" w:space="0" w:color="auto"/>
              <w:bottom w:val="single" w:sz="4" w:space="0" w:color="auto"/>
              <w:right w:val="single" w:sz="4" w:space="0" w:color="auto"/>
            </w:tcBorders>
            <w:hideMark/>
          </w:tcPr>
          <w:p w:rsidR="00771D0C" w:rsidRPr="006E0441" w:rsidRDefault="00771D0C" w:rsidP="00771D0C">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771D0C" w:rsidRPr="006E0441" w:rsidRDefault="00771D0C" w:rsidP="00771D0C">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771D0C" w:rsidRPr="006E0441" w:rsidRDefault="00771D0C" w:rsidP="00771D0C">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pacing w:after="0"/>
              <w:jc w:val="right"/>
              <w:rPr>
                <w:sz w:val="12"/>
                <w:szCs w:val="12"/>
              </w:rPr>
            </w:pPr>
            <w:r w:rsidRPr="006E0441">
              <w:rPr>
                <w:noProof/>
                <w:sz w:val="12"/>
                <w:szCs w:val="12"/>
              </w:rPr>
              <w:t>2.270.000,00</w:t>
            </w: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B27E6B">
            <w:pPr>
              <w:suppressAutoHyphens/>
              <w:spacing w:after="0"/>
              <w:jc w:val="right"/>
              <w:rPr>
                <w:color w:val="000000"/>
                <w:sz w:val="12"/>
                <w:szCs w:val="12"/>
              </w:rPr>
            </w:pPr>
            <w:r w:rsidRPr="006E0441">
              <w:rPr>
                <w:noProof/>
                <w:sz w:val="12"/>
                <w:szCs w:val="12"/>
              </w:rPr>
              <w:t>40.</w:t>
            </w:r>
            <w:r w:rsidR="007B5EFD" w:rsidRPr="006E0441">
              <w:rPr>
                <w:noProof/>
                <w:sz w:val="12"/>
                <w:szCs w:val="12"/>
              </w:rPr>
              <w:t>588.527,00</w:t>
            </w:r>
          </w:p>
        </w:tc>
      </w:tr>
      <w:tr w:rsidR="007B5EFD" w:rsidRPr="006E0441" w:rsidTr="00F96696">
        <w:trPr>
          <w:trHeight w:val="193"/>
        </w:trPr>
        <w:tc>
          <w:tcPr>
            <w:tcW w:w="530" w:type="pct"/>
            <w:tcBorders>
              <w:top w:val="single" w:sz="4" w:space="0" w:color="auto"/>
              <w:left w:val="single" w:sz="4" w:space="0" w:color="auto"/>
              <w:bottom w:val="single" w:sz="4" w:space="0" w:color="auto"/>
              <w:right w:val="single" w:sz="4" w:space="0" w:color="auto"/>
            </w:tcBorders>
          </w:tcPr>
          <w:p w:rsidR="00771D0C" w:rsidRPr="006E0441" w:rsidRDefault="00771D0C" w:rsidP="00771D0C">
            <w:pPr>
              <w:suppressAutoHyphens/>
              <w:spacing w:after="0"/>
              <w:rPr>
                <w:noProof/>
                <w:color w:val="000000"/>
                <w:sz w:val="12"/>
                <w:szCs w:val="12"/>
              </w:rPr>
            </w:pPr>
            <w:r w:rsidRPr="006E0441">
              <w:rPr>
                <w:noProof/>
                <w:color w:val="000000"/>
                <w:sz w:val="12"/>
                <w:szCs w:val="12"/>
              </w:rPr>
              <w:t>04 - Trajnostna raba in proizvodnja energije in pametna omrežja</w:t>
            </w:r>
          </w:p>
        </w:tc>
        <w:tc>
          <w:tcPr>
            <w:tcW w:w="509" w:type="pct"/>
            <w:tcBorders>
              <w:top w:val="single" w:sz="4" w:space="0" w:color="auto"/>
              <w:left w:val="single" w:sz="4" w:space="0" w:color="auto"/>
              <w:bottom w:val="single" w:sz="4" w:space="0" w:color="auto"/>
              <w:right w:val="single" w:sz="4" w:space="0" w:color="auto"/>
            </w:tcBorders>
          </w:tcPr>
          <w:p w:rsidR="00771D0C" w:rsidRPr="006E0441" w:rsidRDefault="00771D0C">
            <w:pPr>
              <w:suppressAutoHyphens/>
              <w:spacing w:after="0"/>
              <w:rPr>
                <w:noProof/>
                <w:color w:val="000000"/>
                <w:sz w:val="12"/>
                <w:szCs w:val="12"/>
              </w:rPr>
            </w:pPr>
            <w:r w:rsidRPr="006E0441">
              <w:rPr>
                <w:noProof/>
                <w:color w:val="000000"/>
                <w:sz w:val="12"/>
                <w:szCs w:val="12"/>
              </w:rPr>
              <w:t>ESRR</w:t>
            </w: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pacing w:after="0"/>
              <w:rPr>
                <w:sz w:val="12"/>
                <w:szCs w:val="12"/>
              </w:rPr>
            </w:pPr>
            <w:r w:rsidRPr="006E0441">
              <w:rPr>
                <w:noProof/>
                <w:color w:val="000000"/>
                <w:sz w:val="10"/>
                <w:szCs w:val="10"/>
              </w:rPr>
              <w:t>Bolj razvite</w:t>
            </w: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pacing w:after="0"/>
              <w:jc w:val="right"/>
              <w:rPr>
                <w:noProof/>
                <w:sz w:val="12"/>
                <w:szCs w:val="12"/>
              </w:rPr>
            </w:pPr>
            <w:r w:rsidRPr="006E0441">
              <w:rPr>
                <w:noProof/>
                <w:sz w:val="12"/>
                <w:szCs w:val="12"/>
              </w:rPr>
              <w:t>2.500.000,00</w:t>
            </w: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71D0C" w:rsidP="00771D0C">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771D0C" w:rsidRPr="006E0441" w:rsidRDefault="007B5EFD" w:rsidP="00771D0C">
            <w:pPr>
              <w:suppressAutoHyphens/>
              <w:spacing w:after="0"/>
              <w:jc w:val="right"/>
              <w:rPr>
                <w:noProof/>
                <w:color w:val="000000"/>
                <w:sz w:val="12"/>
                <w:szCs w:val="12"/>
              </w:rPr>
            </w:pPr>
            <w:r w:rsidRPr="006E0441">
              <w:rPr>
                <w:noProof/>
                <w:color w:val="000000"/>
                <w:sz w:val="12"/>
                <w:szCs w:val="12"/>
              </w:rPr>
              <w:t>26.951.723,00</w:t>
            </w:r>
          </w:p>
        </w:tc>
      </w:tr>
      <w:tr w:rsidR="007B5EFD" w:rsidRPr="006E0441" w:rsidTr="00F96696">
        <w:trPr>
          <w:trHeight w:val="193"/>
        </w:trPr>
        <w:tc>
          <w:tcPr>
            <w:tcW w:w="530" w:type="pct"/>
            <w:tcBorders>
              <w:top w:val="single" w:sz="4" w:space="0" w:color="auto"/>
              <w:left w:val="single" w:sz="4" w:space="0" w:color="auto"/>
              <w:bottom w:val="single" w:sz="4" w:space="0" w:color="auto"/>
              <w:right w:val="single" w:sz="4" w:space="0" w:color="auto"/>
            </w:tcBorders>
          </w:tcPr>
          <w:p w:rsidR="00144536" w:rsidRPr="006E0441" w:rsidRDefault="00144536" w:rsidP="00144536">
            <w:pPr>
              <w:suppressAutoHyphens/>
              <w:spacing w:after="0"/>
              <w:rPr>
                <w:noProof/>
                <w:color w:val="000000"/>
                <w:sz w:val="12"/>
                <w:szCs w:val="12"/>
              </w:rPr>
            </w:pPr>
            <w:r w:rsidRPr="006E0441">
              <w:rPr>
                <w:noProof/>
                <w:color w:val="000000"/>
                <w:sz w:val="12"/>
                <w:szCs w:val="12"/>
              </w:rPr>
              <w:t>04 - Trajnostna raba in proizvodnja energije in pametna omrežja</w:t>
            </w:r>
          </w:p>
        </w:tc>
        <w:tc>
          <w:tcPr>
            <w:tcW w:w="509" w:type="pct"/>
            <w:tcBorders>
              <w:top w:val="single" w:sz="4" w:space="0" w:color="auto"/>
              <w:left w:val="single" w:sz="4" w:space="0" w:color="auto"/>
              <w:bottom w:val="single" w:sz="4" w:space="0" w:color="auto"/>
              <w:right w:val="single" w:sz="4" w:space="0" w:color="auto"/>
            </w:tcBorders>
          </w:tcPr>
          <w:p w:rsidR="00144536" w:rsidRPr="006E0441" w:rsidRDefault="00144536" w:rsidP="00144536">
            <w:pPr>
              <w:suppressAutoHyphens/>
              <w:spacing w:after="0"/>
              <w:rPr>
                <w:noProof/>
                <w:color w:val="000000"/>
                <w:sz w:val="12"/>
                <w:szCs w:val="12"/>
              </w:rPr>
            </w:pPr>
            <w:r w:rsidRPr="006E0441">
              <w:rPr>
                <w:noProof/>
                <w:color w:val="000000"/>
                <w:sz w:val="12"/>
                <w:szCs w:val="12"/>
              </w:rPr>
              <w:t>Kohezijski sklad</w:t>
            </w:r>
          </w:p>
        </w:tc>
        <w:tc>
          <w:tcPr>
            <w:tcW w:w="0" w:type="auto"/>
            <w:tcBorders>
              <w:top w:val="single" w:sz="4" w:space="0" w:color="auto"/>
              <w:left w:val="single" w:sz="4" w:space="0" w:color="auto"/>
              <w:bottom w:val="single" w:sz="4" w:space="0" w:color="auto"/>
              <w:right w:val="single" w:sz="4" w:space="0" w:color="auto"/>
            </w:tcBorders>
          </w:tcPr>
          <w:p w:rsidR="00144536" w:rsidRPr="006E0441" w:rsidRDefault="00144536" w:rsidP="00144536">
            <w:pPr>
              <w:spacing w:after="0"/>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144536" w:rsidRPr="006E0441" w:rsidRDefault="00144536" w:rsidP="00144536">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tcPr>
          <w:p w:rsidR="00144536" w:rsidRPr="006E0441" w:rsidRDefault="00144536" w:rsidP="00144536">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tcPr>
          <w:p w:rsidR="00144536" w:rsidRPr="006E0441" w:rsidRDefault="00144536" w:rsidP="00144536">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144536" w:rsidRPr="006E0441" w:rsidRDefault="00144536" w:rsidP="00144536">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144536" w:rsidRPr="006E0441" w:rsidRDefault="00144536" w:rsidP="00144536">
            <w:pPr>
              <w:spacing w:after="0"/>
              <w:jc w:val="right"/>
              <w:rPr>
                <w:noProof/>
                <w:sz w:val="12"/>
                <w:szCs w:val="12"/>
              </w:rPr>
            </w:pPr>
            <w:r w:rsidRPr="006E0441">
              <w:rPr>
                <w:noProof/>
                <w:sz w:val="12"/>
                <w:szCs w:val="12"/>
              </w:rPr>
              <w:t>77.000.000,00</w:t>
            </w:r>
          </w:p>
        </w:tc>
        <w:tc>
          <w:tcPr>
            <w:tcW w:w="0" w:type="auto"/>
            <w:tcBorders>
              <w:top w:val="single" w:sz="4" w:space="0" w:color="auto"/>
              <w:left w:val="single" w:sz="4" w:space="0" w:color="auto"/>
              <w:bottom w:val="single" w:sz="4" w:space="0" w:color="auto"/>
              <w:right w:val="single" w:sz="4" w:space="0" w:color="auto"/>
            </w:tcBorders>
          </w:tcPr>
          <w:p w:rsidR="00144536" w:rsidRPr="006E0441" w:rsidRDefault="00144536" w:rsidP="00144536">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144536" w:rsidRPr="006E0441" w:rsidRDefault="00144536" w:rsidP="00144536">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144536" w:rsidRPr="006E0441" w:rsidRDefault="00144536">
            <w:pPr>
              <w:suppressAutoHyphens/>
              <w:spacing w:after="0"/>
              <w:jc w:val="right"/>
              <w:rPr>
                <w:noProof/>
                <w:color w:val="000000"/>
                <w:sz w:val="12"/>
                <w:szCs w:val="12"/>
              </w:rPr>
            </w:pPr>
            <w:r w:rsidRPr="006E0441">
              <w:rPr>
                <w:noProof/>
                <w:color w:val="000000"/>
                <w:sz w:val="12"/>
                <w:szCs w:val="12"/>
              </w:rPr>
              <w:t>296.766.646,00</w:t>
            </w:r>
          </w:p>
        </w:tc>
      </w:tr>
    </w:tbl>
    <w:p w:rsidR="0012227E" w:rsidRPr="006E0441" w:rsidRDefault="0012227E" w:rsidP="0079028C">
      <w:pPr>
        <w:jc w:val="both"/>
        <w:rPr>
          <w:rStyle w:val="Neenpoudarek"/>
          <w:rFonts w:cs="Arial"/>
          <w:color w:val="auto"/>
        </w:rPr>
      </w:pPr>
    </w:p>
    <w:p w:rsidR="0012227E" w:rsidRPr="006E0441" w:rsidRDefault="0079028C" w:rsidP="0079028C">
      <w:pPr>
        <w:jc w:val="both"/>
        <w:rPr>
          <w:rStyle w:val="Neenpoudarek"/>
          <w:rFonts w:cs="Arial"/>
          <w:i w:val="0"/>
          <w:color w:val="auto"/>
        </w:rPr>
      </w:pPr>
      <w:r w:rsidRPr="006E0441">
        <w:rPr>
          <w:rStyle w:val="Neenpoudarek"/>
          <w:rFonts w:cs="Arial"/>
          <w:color w:val="auto"/>
        </w:rPr>
        <w:t>Obrazložitev:</w:t>
      </w:r>
      <w:r w:rsidRPr="006E0441">
        <w:rPr>
          <w:rStyle w:val="Neenpoudarek"/>
          <w:rFonts w:cs="Arial"/>
          <w:i w:val="0"/>
          <w:color w:val="auto"/>
        </w:rPr>
        <w:t xml:space="preserve"> </w:t>
      </w:r>
    </w:p>
    <w:p w:rsidR="0079028C" w:rsidRPr="006E0441" w:rsidRDefault="0079028C" w:rsidP="0079028C">
      <w:pPr>
        <w:jc w:val="both"/>
        <w:rPr>
          <w:rFonts w:ascii="Calibri" w:hAnsi="Calibri" w:cs="Helv"/>
          <w:color w:val="000000"/>
          <w:szCs w:val="20"/>
          <w:lang w:eastAsia="sl-SI"/>
        </w:rPr>
      </w:pPr>
      <w:r w:rsidRPr="006E0441">
        <w:rPr>
          <w:rFonts w:cs="Arial"/>
          <w:szCs w:val="20"/>
        </w:rPr>
        <w:t xml:space="preserve">Pravice porabe se na prednostni naložbi KS nižajo, pravice porabe na prednostni naložbi ESRR višajo. </w:t>
      </w:r>
      <w:r w:rsidRPr="006E0441">
        <w:rPr>
          <w:rFonts w:ascii="Calibri" w:hAnsi="Calibri" w:cs="Helv"/>
          <w:color w:val="000000"/>
          <w:szCs w:val="20"/>
          <w:lang w:eastAsia="sl-SI"/>
        </w:rPr>
        <w:t>Iz tega razloga se sorazmerno spremeni tudi finančni kazalniki od kocu obdobja.</w:t>
      </w:r>
    </w:p>
    <w:p w:rsidR="0079028C" w:rsidRPr="006E0441" w:rsidRDefault="0079028C" w:rsidP="00F150B2">
      <w:pPr>
        <w:jc w:val="both"/>
        <w:rPr>
          <w:rStyle w:val="Neenpoudarek"/>
          <w:rFonts w:cs="Arial"/>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1378"/>
        <w:gridCol w:w="903"/>
        <w:gridCol w:w="783"/>
        <w:gridCol w:w="1320"/>
        <w:gridCol w:w="374"/>
        <w:gridCol w:w="308"/>
        <w:gridCol w:w="961"/>
        <w:gridCol w:w="930"/>
        <w:gridCol w:w="1054"/>
      </w:tblGrid>
      <w:tr w:rsidR="00F465CE" w:rsidRPr="006E0441" w:rsidTr="00272D2A">
        <w:trPr>
          <w:cantSplit/>
          <w:trHeight w:val="288"/>
          <w:tblHeader/>
        </w:trPr>
        <w:tc>
          <w:tcPr>
            <w:tcW w:w="0" w:type="auto"/>
            <w:gridSpan w:val="2"/>
            <w:shd w:val="clear" w:color="auto" w:fill="auto"/>
          </w:tcPr>
          <w:p w:rsidR="00F465CE" w:rsidRPr="006E0441" w:rsidRDefault="00F465CE" w:rsidP="00272D2A">
            <w:pPr>
              <w:pStyle w:val="Naslov3"/>
              <w:spacing w:before="0"/>
              <w:rPr>
                <w:b/>
                <w:i/>
                <w:color w:val="000000"/>
                <w:sz w:val="16"/>
                <w:szCs w:val="16"/>
              </w:rPr>
            </w:pPr>
            <w:r w:rsidRPr="006E0441">
              <w:rPr>
                <w:b/>
                <w:noProof/>
                <w:color w:val="000000"/>
                <w:sz w:val="16"/>
                <w:szCs w:val="16"/>
              </w:rPr>
              <w:t>Prednostna naložba</w:t>
            </w:r>
          </w:p>
        </w:tc>
        <w:tc>
          <w:tcPr>
            <w:tcW w:w="0" w:type="auto"/>
            <w:gridSpan w:val="8"/>
            <w:shd w:val="clear" w:color="auto" w:fill="auto"/>
          </w:tcPr>
          <w:p w:rsidR="00F465CE" w:rsidRPr="006E0441" w:rsidRDefault="00F465CE" w:rsidP="00272D2A">
            <w:pPr>
              <w:pStyle w:val="Naslov3"/>
              <w:spacing w:before="0"/>
              <w:rPr>
                <w:b/>
                <w:i/>
                <w:color w:val="000000"/>
                <w:sz w:val="16"/>
                <w:szCs w:val="16"/>
              </w:rPr>
            </w:pPr>
            <w:r w:rsidRPr="006E0441">
              <w:rPr>
                <w:b/>
                <w:noProof/>
                <w:color w:val="000000"/>
                <w:sz w:val="16"/>
                <w:szCs w:val="16"/>
              </w:rPr>
              <w:t>4iii - Spodbujanje energetske učinkovitosti, pametnega upravljanja z energijo in uporabe energije iz obnovljivih virov v javni infrastrukturi, vključno z javnimi stavbami, in stanovanjskem sektorju</w:t>
            </w:r>
          </w:p>
        </w:tc>
      </w:tr>
      <w:tr w:rsidR="00F465CE" w:rsidRPr="006E0441" w:rsidTr="00272D2A">
        <w:trPr>
          <w:cantSplit/>
          <w:trHeight w:val="288"/>
          <w:tblHeader/>
        </w:trPr>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Identifikator</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Kazalnik</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Merska enota</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Sklad</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Kategorija regije (če je relevantno)</w:t>
            </w:r>
          </w:p>
        </w:tc>
        <w:tc>
          <w:tcPr>
            <w:tcW w:w="0" w:type="auto"/>
            <w:gridSpan w:val="3"/>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Ciljna vrednost (za leto 2023)</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Vir podatkov</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Pogostost poročanja</w:t>
            </w:r>
          </w:p>
        </w:tc>
      </w:tr>
      <w:tr w:rsidR="007330B8" w:rsidRPr="006E0441" w:rsidTr="00272D2A">
        <w:trPr>
          <w:cantSplit/>
          <w:trHeight w:val="288"/>
          <w:tblHeader/>
        </w:trPr>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M</w:t>
            </w:r>
          </w:p>
        </w:tc>
        <w:tc>
          <w:tcPr>
            <w:tcW w:w="0" w:type="auto"/>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Ž</w:t>
            </w:r>
          </w:p>
        </w:tc>
        <w:tc>
          <w:tcPr>
            <w:tcW w:w="0" w:type="auto"/>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Skupaj</w:t>
            </w: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r>
      <w:tr w:rsidR="007330B8" w:rsidRPr="006E0441" w:rsidTr="00272D2A">
        <w:trPr>
          <w:trHeight w:val="288"/>
        </w:trPr>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4.41</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Skupna tlorisna površina energetsko prenovljenih stavb javnega sektorja</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m2</w:t>
            </w:r>
          </w:p>
        </w:tc>
        <w:tc>
          <w:tcPr>
            <w:tcW w:w="0" w:type="auto"/>
            <w:shd w:val="clear" w:color="auto" w:fill="auto"/>
          </w:tcPr>
          <w:p w:rsidR="00F465CE" w:rsidRPr="006E0441" w:rsidRDefault="00F465CE" w:rsidP="00F96696">
            <w:pPr>
              <w:pStyle w:val="Text1"/>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Kohezijski sklad</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 xml:space="preserve"> </w:t>
            </w: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r w:rsidRPr="006E0441">
              <w:rPr>
                <w:noProof/>
                <w:color w:val="000000"/>
                <w:sz w:val="12"/>
                <w:szCs w:val="12"/>
              </w:rPr>
              <w:t>1.204.370,00</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AU-URE 2020</w:t>
            </w:r>
          </w:p>
        </w:tc>
        <w:tc>
          <w:tcPr>
            <w:tcW w:w="0" w:type="auto"/>
            <w:shd w:val="clear" w:color="auto" w:fill="auto"/>
          </w:tcPr>
          <w:p w:rsidR="00F465CE" w:rsidRPr="006E0441" w:rsidRDefault="00F465CE" w:rsidP="00F96696">
            <w:pPr>
              <w:pStyle w:val="Text2"/>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letno</w:t>
            </w:r>
          </w:p>
        </w:tc>
      </w:tr>
      <w:tr w:rsidR="007330B8" w:rsidRPr="006E0441" w:rsidTr="00272D2A">
        <w:trPr>
          <w:trHeight w:val="288"/>
        </w:trPr>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CO32</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Energetska učinkovitost: Zmanjšanje letne porabe primarne energije v javnih stavbah</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kWh/leto</w:t>
            </w:r>
          </w:p>
        </w:tc>
        <w:tc>
          <w:tcPr>
            <w:tcW w:w="0" w:type="auto"/>
            <w:shd w:val="clear" w:color="auto" w:fill="auto"/>
          </w:tcPr>
          <w:p w:rsidR="00F465CE" w:rsidRPr="006E0441" w:rsidRDefault="00F465CE" w:rsidP="00F96696">
            <w:pPr>
              <w:pStyle w:val="Text1"/>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Kohezijski sklad</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 xml:space="preserve"> </w:t>
            </w: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r w:rsidRPr="006E0441">
              <w:rPr>
                <w:noProof/>
                <w:color w:val="000000"/>
                <w:sz w:val="12"/>
                <w:szCs w:val="12"/>
              </w:rPr>
              <w:t>11.900.460,00</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Izvedbeni organ</w:t>
            </w:r>
          </w:p>
        </w:tc>
        <w:tc>
          <w:tcPr>
            <w:tcW w:w="0" w:type="auto"/>
            <w:shd w:val="clear" w:color="auto" w:fill="auto"/>
          </w:tcPr>
          <w:p w:rsidR="00F465CE" w:rsidRPr="006E0441" w:rsidRDefault="00F465CE" w:rsidP="00F96696">
            <w:pPr>
              <w:pStyle w:val="Text2"/>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Enkrat letno</w:t>
            </w:r>
          </w:p>
        </w:tc>
      </w:tr>
      <w:tr w:rsidR="007330B8" w:rsidRPr="006E0441" w:rsidTr="00272D2A">
        <w:trPr>
          <w:trHeight w:val="288"/>
        </w:trPr>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CO34</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Zmanjšanje emisij toplogrednih plinov: Ocenjeno letno zmanjšanje emisij toplogrednih plinov</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Tone ekvivalenta CO2</w:t>
            </w:r>
          </w:p>
        </w:tc>
        <w:tc>
          <w:tcPr>
            <w:tcW w:w="0" w:type="auto"/>
            <w:shd w:val="clear" w:color="auto" w:fill="auto"/>
          </w:tcPr>
          <w:p w:rsidR="00F465CE" w:rsidRPr="006E0441" w:rsidRDefault="00F465CE" w:rsidP="00F96696">
            <w:pPr>
              <w:pStyle w:val="Text1"/>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Kohezijski sklad</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 xml:space="preserve"> </w:t>
            </w: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r w:rsidRPr="006E0441">
              <w:rPr>
                <w:noProof/>
                <w:color w:val="000000"/>
                <w:sz w:val="12"/>
                <w:szCs w:val="12"/>
              </w:rPr>
              <w:t>21.425,62</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Izvedbeni organ</w:t>
            </w:r>
          </w:p>
        </w:tc>
        <w:tc>
          <w:tcPr>
            <w:tcW w:w="0" w:type="auto"/>
            <w:shd w:val="clear" w:color="auto" w:fill="auto"/>
          </w:tcPr>
          <w:p w:rsidR="00F465CE" w:rsidRPr="006E0441" w:rsidRDefault="00F465CE" w:rsidP="00F96696">
            <w:pPr>
              <w:pStyle w:val="Text2"/>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letno</w:t>
            </w:r>
          </w:p>
        </w:tc>
      </w:tr>
    </w:tbl>
    <w:p w:rsidR="00F465CE" w:rsidRPr="006E0441" w:rsidRDefault="00F465CE" w:rsidP="00F150B2">
      <w:pPr>
        <w:jc w:val="both"/>
        <w:rPr>
          <w:rStyle w:val="Neenpoudarek"/>
          <w:rFonts w:cs="Arial"/>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1418"/>
        <w:gridCol w:w="903"/>
        <w:gridCol w:w="783"/>
        <w:gridCol w:w="1326"/>
        <w:gridCol w:w="378"/>
        <w:gridCol w:w="311"/>
        <w:gridCol w:w="907"/>
        <w:gridCol w:w="929"/>
        <w:gridCol w:w="1056"/>
      </w:tblGrid>
      <w:tr w:rsidR="00F465CE" w:rsidRPr="006E0441" w:rsidTr="00272D2A">
        <w:trPr>
          <w:cantSplit/>
          <w:trHeight w:val="288"/>
          <w:tblHeader/>
        </w:trPr>
        <w:tc>
          <w:tcPr>
            <w:tcW w:w="0" w:type="auto"/>
            <w:gridSpan w:val="2"/>
            <w:shd w:val="clear" w:color="auto" w:fill="auto"/>
          </w:tcPr>
          <w:p w:rsidR="00F465CE" w:rsidRPr="006E0441" w:rsidRDefault="00F465CE" w:rsidP="00272D2A">
            <w:pPr>
              <w:pStyle w:val="Naslov3"/>
              <w:spacing w:before="0"/>
              <w:rPr>
                <w:b/>
                <w:i/>
                <w:color w:val="000000"/>
                <w:sz w:val="16"/>
                <w:szCs w:val="16"/>
              </w:rPr>
            </w:pPr>
            <w:r w:rsidRPr="006E0441">
              <w:rPr>
                <w:b/>
                <w:noProof/>
                <w:color w:val="000000"/>
                <w:sz w:val="16"/>
                <w:szCs w:val="16"/>
              </w:rPr>
              <w:t>Prednostna naložba</w:t>
            </w:r>
          </w:p>
        </w:tc>
        <w:tc>
          <w:tcPr>
            <w:tcW w:w="0" w:type="auto"/>
            <w:gridSpan w:val="8"/>
            <w:shd w:val="clear" w:color="auto" w:fill="auto"/>
          </w:tcPr>
          <w:p w:rsidR="00F465CE" w:rsidRPr="006E0441" w:rsidRDefault="00F465CE" w:rsidP="00272D2A">
            <w:pPr>
              <w:pStyle w:val="Naslov3"/>
              <w:spacing w:before="0"/>
              <w:rPr>
                <w:b/>
                <w:i/>
                <w:color w:val="000000"/>
                <w:sz w:val="16"/>
                <w:szCs w:val="16"/>
              </w:rPr>
            </w:pPr>
            <w:r w:rsidRPr="006E0441">
              <w:rPr>
                <w:b/>
                <w:i/>
                <w:noProof/>
                <w:color w:val="000000"/>
                <w:sz w:val="16"/>
                <w:szCs w:val="16"/>
              </w:rPr>
              <w:t xml:space="preserve">4f </w:t>
            </w:r>
            <w:r w:rsidRPr="006E0441">
              <w:rPr>
                <w:b/>
                <w:noProof/>
                <w:color w:val="000000"/>
                <w:sz w:val="16"/>
                <w:szCs w:val="16"/>
              </w:rPr>
              <w:t xml:space="preserve"> - Spodbujanje energetske učinkovitosti, pametnega upravljanja z energijo in uporabe energije iz obnovljivih virov v</w:t>
            </w:r>
            <w:r w:rsidR="0079028C" w:rsidRPr="006E0441">
              <w:rPr>
                <w:b/>
                <w:noProof/>
                <w:color w:val="000000"/>
                <w:sz w:val="16"/>
                <w:szCs w:val="16"/>
              </w:rPr>
              <w:t xml:space="preserve"> stavbah zdravstvene infrastrukture posebnega pomena (COVID-19)</w:t>
            </w:r>
            <w:r w:rsidRPr="006E0441">
              <w:rPr>
                <w:b/>
                <w:noProof/>
                <w:color w:val="000000"/>
                <w:sz w:val="16"/>
                <w:szCs w:val="16"/>
              </w:rPr>
              <w:t xml:space="preserve"> </w:t>
            </w:r>
          </w:p>
        </w:tc>
      </w:tr>
      <w:tr w:rsidR="0079028C" w:rsidRPr="006E0441" w:rsidTr="00272D2A">
        <w:trPr>
          <w:cantSplit/>
          <w:trHeight w:val="288"/>
          <w:tblHeader/>
        </w:trPr>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Identifikator</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Kazalnik</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Merska enota</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Sklad</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Kategorija regije (če je relevantno)</w:t>
            </w:r>
          </w:p>
        </w:tc>
        <w:tc>
          <w:tcPr>
            <w:tcW w:w="0" w:type="auto"/>
            <w:gridSpan w:val="3"/>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Ciljna vrednost (za leto 2023)</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Vir podatkov</w:t>
            </w:r>
          </w:p>
        </w:tc>
        <w:tc>
          <w:tcPr>
            <w:tcW w:w="0" w:type="auto"/>
            <w:vMerge w:val="restart"/>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Pogostost poročanja</w:t>
            </w:r>
          </w:p>
        </w:tc>
      </w:tr>
      <w:tr w:rsidR="0079028C" w:rsidRPr="006E0441" w:rsidTr="00272D2A">
        <w:trPr>
          <w:cantSplit/>
          <w:trHeight w:val="288"/>
          <w:tblHeader/>
        </w:trPr>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M</w:t>
            </w:r>
          </w:p>
        </w:tc>
        <w:tc>
          <w:tcPr>
            <w:tcW w:w="0" w:type="auto"/>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Ž</w:t>
            </w:r>
          </w:p>
        </w:tc>
        <w:tc>
          <w:tcPr>
            <w:tcW w:w="0" w:type="auto"/>
            <w:shd w:val="clear" w:color="auto" w:fill="auto"/>
          </w:tcPr>
          <w:p w:rsidR="00F465CE" w:rsidRPr="006E0441" w:rsidRDefault="00F465CE" w:rsidP="00272D2A">
            <w:pPr>
              <w:spacing w:after="0"/>
              <w:jc w:val="center"/>
              <w:rPr>
                <w:b/>
                <w:color w:val="000000"/>
                <w:sz w:val="16"/>
                <w:szCs w:val="16"/>
              </w:rPr>
            </w:pPr>
            <w:r w:rsidRPr="006E0441">
              <w:rPr>
                <w:b/>
                <w:noProof/>
                <w:color w:val="000000"/>
                <w:sz w:val="16"/>
                <w:szCs w:val="16"/>
              </w:rPr>
              <w:t>Skupaj</w:t>
            </w:r>
          </w:p>
        </w:tc>
        <w:tc>
          <w:tcPr>
            <w:tcW w:w="0" w:type="auto"/>
            <w:vMerge/>
            <w:shd w:val="clear" w:color="auto" w:fill="auto"/>
          </w:tcPr>
          <w:p w:rsidR="00F465CE" w:rsidRPr="006E0441" w:rsidRDefault="00F465CE" w:rsidP="00272D2A">
            <w:pPr>
              <w:spacing w:after="0"/>
              <w:jc w:val="center"/>
              <w:rPr>
                <w:b/>
                <w:color w:val="000000"/>
                <w:sz w:val="16"/>
                <w:szCs w:val="16"/>
              </w:rPr>
            </w:pPr>
          </w:p>
        </w:tc>
        <w:tc>
          <w:tcPr>
            <w:tcW w:w="0" w:type="auto"/>
            <w:vMerge/>
            <w:shd w:val="clear" w:color="auto" w:fill="auto"/>
          </w:tcPr>
          <w:p w:rsidR="00F465CE" w:rsidRPr="006E0441" w:rsidRDefault="00F465CE" w:rsidP="00272D2A">
            <w:pPr>
              <w:spacing w:after="0"/>
              <w:jc w:val="center"/>
              <w:rPr>
                <w:b/>
                <w:color w:val="000000"/>
                <w:sz w:val="16"/>
                <w:szCs w:val="16"/>
              </w:rPr>
            </w:pPr>
          </w:p>
        </w:tc>
      </w:tr>
      <w:tr w:rsidR="0079028C" w:rsidRPr="006E0441" w:rsidTr="00272D2A">
        <w:trPr>
          <w:trHeight w:val="288"/>
        </w:trPr>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4.41</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Skupna tlorisna površina energetsko prenovljenih stavb javnega sektorja</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m2</w:t>
            </w:r>
          </w:p>
        </w:tc>
        <w:tc>
          <w:tcPr>
            <w:tcW w:w="0" w:type="auto"/>
            <w:shd w:val="clear" w:color="auto" w:fill="auto"/>
          </w:tcPr>
          <w:p w:rsidR="00F465CE" w:rsidRPr="006E0441" w:rsidRDefault="00F465CE" w:rsidP="00F96696">
            <w:pPr>
              <w:pStyle w:val="Text1"/>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Kohezijski sklad</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 xml:space="preserve"> </w:t>
            </w: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r w:rsidRPr="006E0441">
              <w:rPr>
                <w:noProof/>
                <w:color w:val="000000"/>
                <w:sz w:val="12"/>
                <w:szCs w:val="12"/>
              </w:rPr>
              <w:t>65.790,00</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AU-URE 2020</w:t>
            </w:r>
          </w:p>
        </w:tc>
        <w:tc>
          <w:tcPr>
            <w:tcW w:w="0" w:type="auto"/>
            <w:shd w:val="clear" w:color="auto" w:fill="auto"/>
          </w:tcPr>
          <w:p w:rsidR="00F465CE" w:rsidRPr="006E0441" w:rsidRDefault="00F465CE" w:rsidP="00F96696">
            <w:pPr>
              <w:pStyle w:val="Text2"/>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letno</w:t>
            </w:r>
          </w:p>
        </w:tc>
      </w:tr>
      <w:tr w:rsidR="0079028C" w:rsidRPr="006E0441" w:rsidTr="00272D2A">
        <w:trPr>
          <w:trHeight w:val="288"/>
        </w:trPr>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CO32</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Energetska učinkovitost: Zmanjšanje letne porabe primarne energije v javnih stavbah</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kWh/leto</w:t>
            </w:r>
          </w:p>
        </w:tc>
        <w:tc>
          <w:tcPr>
            <w:tcW w:w="0" w:type="auto"/>
            <w:shd w:val="clear" w:color="auto" w:fill="auto"/>
          </w:tcPr>
          <w:p w:rsidR="00F465CE" w:rsidRPr="006E0441" w:rsidRDefault="00F465CE" w:rsidP="00F96696">
            <w:pPr>
              <w:pStyle w:val="Text1"/>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Kohezijski sklad</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 xml:space="preserve"> </w:t>
            </w: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r w:rsidRPr="006E0441">
              <w:rPr>
                <w:noProof/>
                <w:color w:val="000000"/>
                <w:sz w:val="12"/>
                <w:szCs w:val="12"/>
              </w:rPr>
              <w:t>4.342.140,00</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Izvedbeni organ</w:t>
            </w:r>
          </w:p>
        </w:tc>
        <w:tc>
          <w:tcPr>
            <w:tcW w:w="0" w:type="auto"/>
            <w:shd w:val="clear" w:color="auto" w:fill="auto"/>
          </w:tcPr>
          <w:p w:rsidR="00F465CE" w:rsidRPr="006E0441" w:rsidRDefault="00F465CE" w:rsidP="00F96696">
            <w:pPr>
              <w:pStyle w:val="Text2"/>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Enkrat letno</w:t>
            </w:r>
          </w:p>
        </w:tc>
      </w:tr>
      <w:tr w:rsidR="0079028C" w:rsidRPr="006E0441" w:rsidTr="00272D2A">
        <w:trPr>
          <w:trHeight w:val="288"/>
        </w:trPr>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CO34</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Zmanjšanje emisij toplogrednih plinov: Ocenjeno letno zmanjšanje emisij toplogrednih plinov</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Tone ekvivalenta CO2</w:t>
            </w:r>
          </w:p>
        </w:tc>
        <w:tc>
          <w:tcPr>
            <w:tcW w:w="0" w:type="auto"/>
            <w:shd w:val="clear" w:color="auto" w:fill="auto"/>
          </w:tcPr>
          <w:p w:rsidR="00F465CE" w:rsidRPr="006E0441" w:rsidRDefault="00F465CE" w:rsidP="00F96696">
            <w:pPr>
              <w:pStyle w:val="Text1"/>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Kohezijski sklad</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 xml:space="preserve"> </w:t>
            </w: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p>
        </w:tc>
        <w:tc>
          <w:tcPr>
            <w:tcW w:w="0" w:type="auto"/>
            <w:shd w:val="clear" w:color="auto" w:fill="auto"/>
          </w:tcPr>
          <w:p w:rsidR="00F465CE" w:rsidRPr="006E0441" w:rsidRDefault="00F465CE" w:rsidP="00F96696">
            <w:pPr>
              <w:suppressAutoHyphens/>
              <w:spacing w:after="0"/>
              <w:jc w:val="right"/>
              <w:rPr>
                <w:noProof/>
                <w:color w:val="000000"/>
                <w:sz w:val="12"/>
                <w:szCs w:val="12"/>
              </w:rPr>
            </w:pPr>
            <w:r w:rsidRPr="006E0441">
              <w:rPr>
                <w:noProof/>
                <w:color w:val="000000"/>
                <w:sz w:val="12"/>
                <w:szCs w:val="12"/>
              </w:rPr>
              <w:t>1.172,38</w:t>
            </w:r>
          </w:p>
        </w:tc>
        <w:tc>
          <w:tcPr>
            <w:tcW w:w="0" w:type="auto"/>
            <w:shd w:val="clear" w:color="auto" w:fill="auto"/>
          </w:tcPr>
          <w:p w:rsidR="00F465CE" w:rsidRPr="006E0441" w:rsidRDefault="00F465CE" w:rsidP="00F96696">
            <w:pPr>
              <w:suppressAutoHyphens/>
              <w:spacing w:after="0"/>
              <w:rPr>
                <w:noProof/>
                <w:color w:val="000000"/>
                <w:sz w:val="12"/>
                <w:szCs w:val="12"/>
              </w:rPr>
            </w:pPr>
            <w:r w:rsidRPr="006E0441">
              <w:rPr>
                <w:noProof/>
                <w:color w:val="000000"/>
                <w:sz w:val="12"/>
                <w:szCs w:val="12"/>
              </w:rPr>
              <w:t>Izvedbeni organ</w:t>
            </w:r>
          </w:p>
        </w:tc>
        <w:tc>
          <w:tcPr>
            <w:tcW w:w="0" w:type="auto"/>
            <w:shd w:val="clear" w:color="auto" w:fill="auto"/>
          </w:tcPr>
          <w:p w:rsidR="00F465CE" w:rsidRPr="006E0441" w:rsidRDefault="00F465CE" w:rsidP="00F96696">
            <w:pPr>
              <w:pStyle w:val="Text2"/>
              <w:suppressAutoHyphens/>
              <w:spacing w:before="0" w:after="0"/>
              <w:ind w:left="0"/>
              <w:rPr>
                <w:rFonts w:asciiTheme="minorHAnsi" w:eastAsiaTheme="minorEastAsia" w:hAnsiTheme="minorHAnsi" w:cstheme="minorBidi"/>
                <w:noProof/>
                <w:color w:val="000000"/>
                <w:sz w:val="12"/>
                <w:szCs w:val="12"/>
                <w:lang w:val="sl-SI"/>
              </w:rPr>
            </w:pPr>
            <w:r w:rsidRPr="006E0441">
              <w:rPr>
                <w:rFonts w:asciiTheme="minorHAnsi" w:eastAsiaTheme="minorEastAsia" w:hAnsiTheme="minorHAnsi" w:cstheme="minorBidi"/>
                <w:noProof/>
                <w:color w:val="000000"/>
                <w:sz w:val="12"/>
                <w:szCs w:val="12"/>
                <w:lang w:val="sl-SI"/>
              </w:rPr>
              <w:t>letno</w:t>
            </w:r>
          </w:p>
        </w:tc>
      </w:tr>
    </w:tbl>
    <w:p w:rsidR="0012227E" w:rsidRPr="006E0441" w:rsidRDefault="0012227E" w:rsidP="0012227E">
      <w:pPr>
        <w:jc w:val="both"/>
        <w:rPr>
          <w:rStyle w:val="Neenpoudarek"/>
          <w:rFonts w:cs="Arial"/>
          <w:color w:val="auto"/>
        </w:rPr>
      </w:pPr>
    </w:p>
    <w:p w:rsidR="0012227E" w:rsidRPr="006E0441" w:rsidRDefault="0012227E" w:rsidP="0012227E">
      <w:pPr>
        <w:jc w:val="both"/>
        <w:rPr>
          <w:rStyle w:val="Neenpoudarek"/>
          <w:rFonts w:cs="Arial"/>
          <w:color w:val="auto"/>
        </w:rPr>
      </w:pPr>
      <w:r w:rsidRPr="006E0441">
        <w:rPr>
          <w:rStyle w:val="Neenpoudarek"/>
          <w:rFonts w:cs="Arial"/>
          <w:color w:val="auto"/>
        </w:rPr>
        <w:lastRenderedPageBreak/>
        <w:t>Obrazložitev:</w:t>
      </w:r>
    </w:p>
    <w:p w:rsidR="00F465CE" w:rsidRPr="006E0441" w:rsidRDefault="0012227E" w:rsidP="0012227E">
      <w:pPr>
        <w:jc w:val="both"/>
        <w:rPr>
          <w:rStyle w:val="Neenpoudarek"/>
          <w:rFonts w:cs="Arial"/>
          <w:color w:val="auto"/>
        </w:rPr>
      </w:pPr>
      <w:r w:rsidRPr="006E0441">
        <w:rPr>
          <w:szCs w:val="20"/>
        </w:rPr>
        <w:t>Ker se predlaga podpora energetske prenove stavb zdravstvene infrastrukture posebnega pomena (COVID -19) v okviru nove prednostne naložbe, se ciljne vrednosti kazalnikov 4.41, CO32 in CO34 za leto 2023 ločeno načrtujejo v okviru  prednostne naložbe 4.5 (4.f).  Posledica navedenega je znižanje ciljnih vrednosti kazalnikov 4.41, CO32 in CO34 za leto 2023 na prednostni naložbi 4.1 (4.iii).</w:t>
      </w:r>
    </w:p>
    <w:p w:rsidR="0012227E" w:rsidRPr="006E0441" w:rsidRDefault="0012227E" w:rsidP="00F150B2">
      <w:pPr>
        <w:jc w:val="both"/>
        <w:rPr>
          <w:rStyle w:val="Neenpoudarek"/>
          <w:rFonts w:cs="Arial"/>
          <w:color w:val="auto"/>
        </w:rPr>
      </w:pPr>
    </w:p>
    <w:p w:rsidR="00552622" w:rsidRPr="006E0441" w:rsidRDefault="00552622" w:rsidP="00552622">
      <w:pPr>
        <w:rPr>
          <w:b/>
        </w:rPr>
      </w:pPr>
      <w:r w:rsidRPr="006E0441">
        <w:rPr>
          <w:b/>
        </w:rPr>
        <w:t>PREDNOSTNA OS 5</w:t>
      </w:r>
    </w:p>
    <w:p w:rsidR="00552622" w:rsidRPr="006E0441" w:rsidRDefault="00552622" w:rsidP="00552622">
      <w:pPr>
        <w:rPr>
          <w:b/>
          <w:noProof/>
        </w:rPr>
      </w:pPr>
      <w:r w:rsidRPr="006E0441">
        <w:rPr>
          <w:b/>
          <w:noProof/>
        </w:rPr>
        <w:t>OP 5.0 - stanje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338"/>
        <w:gridCol w:w="773"/>
        <w:gridCol w:w="987"/>
        <w:gridCol w:w="1376"/>
        <w:gridCol w:w="1161"/>
        <w:gridCol w:w="356"/>
        <w:gridCol w:w="293"/>
        <w:gridCol w:w="915"/>
        <w:gridCol w:w="424"/>
        <w:gridCol w:w="349"/>
        <w:gridCol w:w="1090"/>
      </w:tblGrid>
      <w:tr w:rsidR="00552622" w:rsidRPr="006E0441" w:rsidTr="001B326D">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sz w:val="16"/>
                <w:szCs w:val="16"/>
              </w:rPr>
            </w:pPr>
            <w:r w:rsidRPr="006E0441">
              <w:rPr>
                <w:b/>
                <w:noProof/>
                <w:sz w:val="16"/>
                <w:szCs w:val="16"/>
              </w:rPr>
              <w:t>Prednostna os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552622" w:rsidRPr="006E0441" w:rsidRDefault="00552622" w:rsidP="001B326D">
            <w:pPr>
              <w:spacing w:after="0"/>
              <w:jc w:val="center"/>
              <w:rPr>
                <w:b/>
                <w:color w:val="FF0000"/>
                <w:sz w:val="16"/>
                <w:szCs w:val="16"/>
              </w:rPr>
            </w:pPr>
            <w:r w:rsidRPr="006E0441">
              <w:rPr>
                <w:b/>
                <w:noProof/>
                <w:sz w:val="16"/>
                <w:szCs w:val="16"/>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552622" w:rsidRPr="006E0441" w:rsidRDefault="00552622" w:rsidP="001B326D">
            <w:pPr>
              <w:spacing w:after="0"/>
              <w:jc w:val="center"/>
              <w:rPr>
                <w:b/>
                <w:color w:val="FF0000"/>
                <w:sz w:val="16"/>
                <w:szCs w:val="16"/>
              </w:rPr>
            </w:pPr>
            <w:r w:rsidRPr="006E0441">
              <w:rPr>
                <w:b/>
                <w:noProof/>
                <w:sz w:val="16"/>
                <w:szCs w:val="16"/>
              </w:rPr>
              <w:t>Končna ciljna vrednost (za leto 2023)</w:t>
            </w:r>
          </w:p>
        </w:tc>
      </w:tr>
      <w:tr w:rsidR="00552622" w:rsidRPr="006E0441" w:rsidTr="00A854A1">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2622" w:rsidRPr="006E0441" w:rsidRDefault="00552622" w:rsidP="001B326D">
            <w:pPr>
              <w:spacing w:after="0"/>
              <w:rPr>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2622" w:rsidRPr="006E0441" w:rsidRDefault="00552622" w:rsidP="001B326D">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2622" w:rsidRPr="006E0441" w:rsidRDefault="00552622" w:rsidP="001B326D">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2622" w:rsidRPr="006E0441" w:rsidRDefault="00552622" w:rsidP="001B326D">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2622" w:rsidRPr="006E0441" w:rsidRDefault="00552622" w:rsidP="001B326D">
            <w:pPr>
              <w:spacing w:after="0"/>
              <w:rPr>
                <w:b/>
                <w:color w:val="FF0000"/>
                <w:sz w:val="16"/>
                <w:szCs w:val="16"/>
              </w:rPr>
            </w:pPr>
          </w:p>
        </w:tc>
        <w:tc>
          <w:tcPr>
            <w:tcW w:w="0" w:type="auto"/>
            <w:tcBorders>
              <w:left w:val="single" w:sz="4" w:space="0" w:color="auto"/>
              <w:bottom w:val="single" w:sz="4" w:space="0" w:color="auto"/>
              <w:right w:val="single" w:sz="4" w:space="0" w:color="auto"/>
            </w:tcBorders>
            <w:shd w:val="clear" w:color="auto" w:fill="auto"/>
            <w:hideMark/>
          </w:tcPr>
          <w:p w:rsidR="00552622" w:rsidRPr="006E0441" w:rsidRDefault="00552622" w:rsidP="001B326D">
            <w:pPr>
              <w:spacing w:after="0"/>
              <w:jc w:val="center"/>
              <w:rPr>
                <w:b/>
                <w:sz w:val="16"/>
                <w:szCs w:val="16"/>
              </w:rPr>
            </w:pPr>
            <w:r w:rsidRPr="006E0441">
              <w:rPr>
                <w:b/>
                <w:noProof/>
                <w:sz w:val="16"/>
                <w:szCs w:val="16"/>
              </w:rPr>
              <w:t>M</w:t>
            </w:r>
          </w:p>
        </w:tc>
        <w:tc>
          <w:tcPr>
            <w:tcW w:w="0" w:type="auto"/>
            <w:tcBorders>
              <w:left w:val="single" w:sz="4" w:space="0" w:color="auto"/>
              <w:bottom w:val="single" w:sz="4" w:space="0" w:color="auto"/>
              <w:right w:val="single" w:sz="4" w:space="0" w:color="auto"/>
            </w:tcBorders>
            <w:shd w:val="clear" w:color="auto" w:fill="auto"/>
          </w:tcPr>
          <w:p w:rsidR="00552622" w:rsidRPr="006E0441" w:rsidRDefault="00552622" w:rsidP="001B326D">
            <w:pPr>
              <w:spacing w:after="0"/>
              <w:jc w:val="center"/>
              <w:rPr>
                <w:b/>
                <w:sz w:val="16"/>
                <w:szCs w:val="16"/>
              </w:rPr>
            </w:pPr>
            <w:r w:rsidRPr="006E0441">
              <w:rPr>
                <w:b/>
                <w:noProof/>
                <w:sz w:val="16"/>
                <w:szCs w:val="16"/>
              </w:rPr>
              <w:t>Ž</w:t>
            </w:r>
          </w:p>
        </w:tc>
        <w:tc>
          <w:tcPr>
            <w:tcW w:w="0" w:type="auto"/>
            <w:tcBorders>
              <w:left w:val="single" w:sz="4" w:space="0" w:color="auto"/>
              <w:bottom w:val="single" w:sz="4" w:space="0" w:color="auto"/>
              <w:right w:val="single" w:sz="4" w:space="0" w:color="auto"/>
            </w:tcBorders>
            <w:shd w:val="clear" w:color="auto" w:fill="auto"/>
          </w:tcPr>
          <w:p w:rsidR="00552622" w:rsidRPr="006E0441" w:rsidRDefault="00552622" w:rsidP="001B326D">
            <w:pPr>
              <w:spacing w:after="0"/>
              <w:jc w:val="center"/>
              <w:rPr>
                <w:b/>
                <w:sz w:val="16"/>
                <w:szCs w:val="16"/>
              </w:rPr>
            </w:pPr>
            <w:r w:rsidRPr="006E0441">
              <w:rPr>
                <w:b/>
                <w:noProof/>
                <w:sz w:val="16"/>
                <w:szCs w:val="16"/>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52622" w:rsidRPr="006E0441" w:rsidRDefault="00247554" w:rsidP="001B326D">
            <w:pPr>
              <w:spacing w:after="0"/>
              <w:jc w:val="center"/>
              <w:rPr>
                <w:b/>
                <w:sz w:val="16"/>
                <w:szCs w:val="16"/>
              </w:rPr>
            </w:pPr>
            <w:r w:rsidRPr="006E0441">
              <w:rPr>
                <w:b/>
                <w:sz w:val="16"/>
                <w:szCs w:val="16"/>
              </w:rPr>
              <w:t>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52622" w:rsidRPr="006E0441" w:rsidRDefault="00247554" w:rsidP="001B326D">
            <w:pPr>
              <w:spacing w:after="0"/>
              <w:jc w:val="center"/>
              <w:rPr>
                <w:b/>
                <w:sz w:val="16"/>
                <w:szCs w:val="16"/>
              </w:rPr>
            </w:pPr>
            <w:r w:rsidRPr="006E0441">
              <w:rPr>
                <w:b/>
                <w:sz w:val="16"/>
                <w:szCs w:val="16"/>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552622" w:rsidRPr="006E0441" w:rsidRDefault="00552622" w:rsidP="001B326D">
            <w:pPr>
              <w:spacing w:after="0"/>
              <w:jc w:val="center"/>
              <w:rPr>
                <w:b/>
                <w:sz w:val="16"/>
                <w:szCs w:val="16"/>
              </w:rPr>
            </w:pPr>
            <w:r w:rsidRPr="006E0441">
              <w:rPr>
                <w:b/>
                <w:noProof/>
                <w:sz w:val="16"/>
                <w:szCs w:val="16"/>
              </w:rPr>
              <w:t>Skupaj</w:t>
            </w:r>
          </w:p>
        </w:tc>
      </w:tr>
      <w:tr w:rsidR="00552622" w:rsidRPr="006E0441" w:rsidTr="001B326D">
        <w:trPr>
          <w:trHeight w:val="291"/>
        </w:trPr>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rPr>
                <w:sz w:val="12"/>
                <w:szCs w:val="12"/>
              </w:rPr>
            </w:pPr>
            <w:r w:rsidRPr="006E0441">
              <w:rPr>
                <w:noProof/>
                <w:color w:val="000000"/>
                <w:sz w:val="12"/>
                <w:szCs w:val="12"/>
              </w:rPr>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rPr>
                <w:noProof/>
                <w:color w:val="000000"/>
                <w:sz w:val="12"/>
                <w:szCs w:val="12"/>
              </w:rPr>
            </w:pPr>
            <w:r w:rsidRPr="006E0441">
              <w:rPr>
                <w:noProof/>
                <w:color w:val="000000"/>
                <w:sz w:val="12"/>
                <w:szCs w:val="12"/>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pacing w:after="0"/>
              <w:rPr>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552622" w:rsidRPr="006E0441" w:rsidRDefault="00552622" w:rsidP="001B326D">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552622" w:rsidRPr="006E0441" w:rsidRDefault="00552622" w:rsidP="001B326D">
            <w:pPr>
              <w:spacing w:after="0"/>
              <w:jc w:val="right"/>
              <w:rPr>
                <w:sz w:val="12"/>
                <w:szCs w:val="12"/>
              </w:rPr>
            </w:pPr>
            <w:r w:rsidRPr="006E0441">
              <w:rPr>
                <w:noProof/>
                <w:sz w:val="12"/>
                <w:szCs w:val="12"/>
              </w:rPr>
              <w:t>12.500.000,00</w:t>
            </w: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jc w:val="right"/>
              <w:rPr>
                <w:color w:val="000000"/>
                <w:sz w:val="12"/>
                <w:szCs w:val="12"/>
              </w:rPr>
            </w:pPr>
            <w:r w:rsidRPr="006E0441">
              <w:rPr>
                <w:noProof/>
                <w:color w:val="000000"/>
                <w:sz w:val="12"/>
                <w:szCs w:val="12"/>
              </w:rPr>
              <w:t>67.012.722,00</w:t>
            </w:r>
          </w:p>
        </w:tc>
      </w:tr>
    </w:tbl>
    <w:p w:rsidR="00552622" w:rsidRPr="006E0441" w:rsidRDefault="00552622" w:rsidP="00552622">
      <w:pPr>
        <w:rPr>
          <w:b/>
          <w:noProof/>
        </w:rPr>
      </w:pPr>
    </w:p>
    <w:p w:rsidR="00552622" w:rsidRPr="006E0441" w:rsidRDefault="00552622" w:rsidP="00552622">
      <w:pPr>
        <w:rPr>
          <w:b/>
          <w:noProof/>
        </w:rPr>
      </w:pPr>
      <w:r w:rsidRPr="006E0441">
        <w:rPr>
          <w:b/>
          <w:noProof/>
        </w:rPr>
        <w:t>Predlog OP 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395"/>
        <w:gridCol w:w="698"/>
        <w:gridCol w:w="956"/>
        <w:gridCol w:w="1246"/>
        <w:gridCol w:w="1037"/>
        <w:gridCol w:w="356"/>
        <w:gridCol w:w="293"/>
        <w:gridCol w:w="915"/>
        <w:gridCol w:w="357"/>
        <w:gridCol w:w="439"/>
        <w:gridCol w:w="1370"/>
      </w:tblGrid>
      <w:tr w:rsidR="007B5EFD" w:rsidRPr="006E0441" w:rsidTr="00F96696">
        <w:trPr>
          <w:trHeight w:val="368"/>
          <w:tblHeader/>
        </w:trPr>
        <w:tc>
          <w:tcPr>
            <w:tcW w:w="7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sz w:val="16"/>
                <w:szCs w:val="16"/>
              </w:rPr>
            </w:pPr>
            <w:r w:rsidRPr="006E0441">
              <w:rPr>
                <w:b/>
                <w:noProof/>
                <w:sz w:val="16"/>
                <w:szCs w:val="16"/>
              </w:rPr>
              <w:t>Prednostna os</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Merska enota, če je ustrezno</w:t>
            </w:r>
          </w:p>
        </w:tc>
        <w:tc>
          <w:tcPr>
            <w:tcW w:w="863" w:type="pct"/>
            <w:gridSpan w:val="3"/>
            <w:tcBorders>
              <w:top w:val="single" w:sz="4" w:space="0" w:color="auto"/>
              <w:left w:val="single" w:sz="4" w:space="0" w:color="auto"/>
              <w:right w:val="single" w:sz="4" w:space="0" w:color="auto"/>
            </w:tcBorders>
            <w:shd w:val="clear" w:color="auto" w:fill="auto"/>
            <w:hideMark/>
          </w:tcPr>
          <w:p w:rsidR="00552622" w:rsidRPr="006E0441" w:rsidRDefault="00552622" w:rsidP="001B326D">
            <w:pPr>
              <w:spacing w:after="0"/>
              <w:jc w:val="center"/>
              <w:rPr>
                <w:b/>
                <w:color w:val="FF0000"/>
                <w:sz w:val="16"/>
                <w:szCs w:val="16"/>
              </w:rPr>
            </w:pPr>
            <w:r w:rsidRPr="006E0441">
              <w:rPr>
                <w:b/>
                <w:noProof/>
                <w:sz w:val="16"/>
                <w:szCs w:val="16"/>
              </w:rPr>
              <w:t>Mejnik za leto 2018</w:t>
            </w:r>
          </w:p>
        </w:tc>
        <w:tc>
          <w:tcPr>
            <w:tcW w:w="1196" w:type="pct"/>
            <w:gridSpan w:val="3"/>
            <w:tcBorders>
              <w:top w:val="single" w:sz="4" w:space="0" w:color="auto"/>
              <w:left w:val="single" w:sz="4" w:space="0" w:color="auto"/>
              <w:bottom w:val="single" w:sz="4" w:space="0" w:color="auto"/>
              <w:right w:val="single" w:sz="4" w:space="0" w:color="auto"/>
            </w:tcBorders>
            <w:shd w:val="clear" w:color="auto" w:fill="auto"/>
            <w:hideMark/>
          </w:tcPr>
          <w:p w:rsidR="00552622" w:rsidRPr="006E0441" w:rsidRDefault="00552622" w:rsidP="001B326D">
            <w:pPr>
              <w:spacing w:after="0"/>
              <w:jc w:val="center"/>
              <w:rPr>
                <w:b/>
                <w:color w:val="FF0000"/>
                <w:sz w:val="16"/>
                <w:szCs w:val="16"/>
              </w:rPr>
            </w:pPr>
            <w:r w:rsidRPr="006E0441">
              <w:rPr>
                <w:b/>
                <w:noProof/>
                <w:sz w:val="16"/>
                <w:szCs w:val="16"/>
              </w:rPr>
              <w:t>Končna ciljna vrednost (za leto 2023)</w:t>
            </w:r>
          </w:p>
        </w:tc>
      </w:tr>
      <w:tr w:rsidR="007B5EFD" w:rsidRPr="006E0441" w:rsidTr="00F96696">
        <w:trPr>
          <w:trHeight w:val="367"/>
          <w:tblHeader/>
        </w:trPr>
        <w:tc>
          <w:tcPr>
            <w:tcW w:w="770" w:type="pct"/>
            <w:vMerge/>
            <w:tcBorders>
              <w:top w:val="single" w:sz="4" w:space="0" w:color="auto"/>
              <w:left w:val="single" w:sz="4" w:space="0" w:color="auto"/>
              <w:bottom w:val="single" w:sz="4" w:space="0" w:color="auto"/>
              <w:right w:val="single" w:sz="4" w:space="0" w:color="auto"/>
            </w:tcBorders>
            <w:vAlign w:val="center"/>
            <w:hideMark/>
          </w:tcPr>
          <w:p w:rsidR="00247554" w:rsidRPr="006E0441" w:rsidRDefault="00247554" w:rsidP="00247554">
            <w:pPr>
              <w:spacing w:after="0"/>
              <w:rPr>
                <w:b/>
                <w:sz w:val="16"/>
                <w:szCs w:val="16"/>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47554" w:rsidRPr="006E0441" w:rsidRDefault="00247554" w:rsidP="00247554">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7554" w:rsidRPr="006E0441" w:rsidRDefault="00247554" w:rsidP="00247554">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7554" w:rsidRPr="006E0441" w:rsidRDefault="00247554" w:rsidP="00247554">
            <w:pPr>
              <w:spacing w:after="0"/>
              <w:rPr>
                <w:b/>
                <w:color w:val="FF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7554" w:rsidRPr="006E0441" w:rsidRDefault="00247554" w:rsidP="00247554">
            <w:pPr>
              <w:spacing w:after="0"/>
              <w:rPr>
                <w:b/>
                <w:color w:val="FF0000"/>
                <w:sz w:val="16"/>
                <w:szCs w:val="16"/>
              </w:rPr>
            </w:pPr>
          </w:p>
        </w:tc>
        <w:tc>
          <w:tcPr>
            <w:tcW w:w="0" w:type="auto"/>
            <w:tcBorders>
              <w:left w:val="single" w:sz="4" w:space="0" w:color="auto"/>
              <w:bottom w:val="single" w:sz="4" w:space="0" w:color="auto"/>
              <w:right w:val="single" w:sz="4" w:space="0" w:color="auto"/>
            </w:tcBorders>
            <w:shd w:val="clear" w:color="auto" w:fill="auto"/>
            <w:hideMark/>
          </w:tcPr>
          <w:p w:rsidR="00247554" w:rsidRPr="006E0441" w:rsidRDefault="00247554" w:rsidP="00247554">
            <w:pPr>
              <w:spacing w:after="0"/>
              <w:jc w:val="center"/>
              <w:rPr>
                <w:b/>
                <w:sz w:val="16"/>
                <w:szCs w:val="16"/>
              </w:rPr>
            </w:pPr>
            <w:r w:rsidRPr="006E0441">
              <w:rPr>
                <w:b/>
                <w:noProof/>
                <w:sz w:val="16"/>
                <w:szCs w:val="16"/>
              </w:rPr>
              <w:t>M</w:t>
            </w:r>
          </w:p>
        </w:tc>
        <w:tc>
          <w:tcPr>
            <w:tcW w:w="0" w:type="auto"/>
            <w:tcBorders>
              <w:left w:val="single" w:sz="4" w:space="0" w:color="auto"/>
              <w:bottom w:val="single" w:sz="4" w:space="0" w:color="auto"/>
              <w:right w:val="single" w:sz="4" w:space="0" w:color="auto"/>
            </w:tcBorders>
            <w:shd w:val="clear" w:color="auto" w:fill="auto"/>
          </w:tcPr>
          <w:p w:rsidR="00247554" w:rsidRPr="006E0441" w:rsidRDefault="00247554" w:rsidP="00247554">
            <w:pPr>
              <w:spacing w:after="0"/>
              <w:jc w:val="center"/>
              <w:rPr>
                <w:b/>
                <w:sz w:val="16"/>
                <w:szCs w:val="16"/>
              </w:rPr>
            </w:pPr>
            <w:r w:rsidRPr="006E0441">
              <w:rPr>
                <w:b/>
                <w:noProof/>
                <w:sz w:val="16"/>
                <w:szCs w:val="16"/>
              </w:rPr>
              <w:t>Ž</w:t>
            </w:r>
          </w:p>
        </w:tc>
        <w:tc>
          <w:tcPr>
            <w:tcW w:w="505" w:type="pct"/>
            <w:tcBorders>
              <w:left w:val="single" w:sz="4" w:space="0" w:color="auto"/>
              <w:bottom w:val="single" w:sz="4" w:space="0" w:color="auto"/>
              <w:right w:val="single" w:sz="4" w:space="0" w:color="auto"/>
            </w:tcBorders>
            <w:shd w:val="clear" w:color="auto" w:fill="auto"/>
          </w:tcPr>
          <w:p w:rsidR="00247554" w:rsidRPr="006E0441" w:rsidRDefault="00247554" w:rsidP="00247554">
            <w:pPr>
              <w:spacing w:after="0"/>
              <w:jc w:val="center"/>
              <w:rPr>
                <w:b/>
                <w:sz w:val="16"/>
                <w:szCs w:val="16"/>
              </w:rPr>
            </w:pPr>
            <w:r w:rsidRPr="006E0441">
              <w:rPr>
                <w:b/>
                <w:noProof/>
                <w:sz w:val="16"/>
                <w:szCs w:val="16"/>
              </w:rPr>
              <w:t>Skupaj</w:t>
            </w:r>
          </w:p>
        </w:tc>
        <w:tc>
          <w:tcPr>
            <w:tcW w:w="197" w:type="pct"/>
            <w:tcBorders>
              <w:top w:val="single" w:sz="4" w:space="0" w:color="auto"/>
              <w:left w:val="single" w:sz="4" w:space="0" w:color="auto"/>
              <w:bottom w:val="single" w:sz="4" w:space="0" w:color="auto"/>
              <w:right w:val="single" w:sz="4" w:space="0" w:color="auto"/>
            </w:tcBorders>
            <w:shd w:val="clear" w:color="auto" w:fill="auto"/>
          </w:tcPr>
          <w:p w:rsidR="00247554" w:rsidRPr="006E0441" w:rsidRDefault="00247554" w:rsidP="00247554">
            <w:pPr>
              <w:spacing w:after="0"/>
              <w:jc w:val="center"/>
              <w:rPr>
                <w:b/>
                <w:sz w:val="16"/>
                <w:szCs w:val="16"/>
              </w:rPr>
            </w:pPr>
            <w:r w:rsidRPr="006E0441">
              <w:rPr>
                <w:b/>
                <w:sz w:val="16"/>
                <w:szCs w:val="16"/>
              </w:rPr>
              <w:t>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47554" w:rsidRPr="006E0441" w:rsidRDefault="00247554" w:rsidP="00247554">
            <w:pPr>
              <w:spacing w:after="0"/>
              <w:jc w:val="center"/>
              <w:rPr>
                <w:b/>
                <w:sz w:val="16"/>
                <w:szCs w:val="16"/>
              </w:rPr>
            </w:pPr>
            <w:r w:rsidRPr="006E0441">
              <w:rPr>
                <w:b/>
                <w:sz w:val="16"/>
                <w:szCs w:val="16"/>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47554" w:rsidRPr="006E0441" w:rsidRDefault="00247554" w:rsidP="00247554">
            <w:pPr>
              <w:spacing w:after="0"/>
              <w:jc w:val="center"/>
              <w:rPr>
                <w:b/>
                <w:sz w:val="16"/>
                <w:szCs w:val="16"/>
              </w:rPr>
            </w:pPr>
            <w:r w:rsidRPr="006E0441">
              <w:rPr>
                <w:b/>
                <w:noProof/>
                <w:sz w:val="16"/>
                <w:szCs w:val="16"/>
              </w:rPr>
              <w:t>Skupaj</w:t>
            </w:r>
          </w:p>
        </w:tc>
      </w:tr>
      <w:tr w:rsidR="007B5EFD" w:rsidRPr="006E0441" w:rsidTr="00F96696">
        <w:trPr>
          <w:trHeight w:val="291"/>
        </w:trPr>
        <w:tc>
          <w:tcPr>
            <w:tcW w:w="770" w:type="pct"/>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rPr>
                <w:sz w:val="12"/>
                <w:szCs w:val="12"/>
              </w:rPr>
            </w:pPr>
            <w:r w:rsidRPr="006E0441">
              <w:rPr>
                <w:noProof/>
                <w:color w:val="000000"/>
                <w:sz w:val="12"/>
                <w:szCs w:val="12"/>
              </w:rPr>
              <w:t>05 - Prilagajanje na podnebne spremembe</w:t>
            </w:r>
          </w:p>
        </w:tc>
        <w:tc>
          <w:tcPr>
            <w:tcW w:w="385" w:type="pct"/>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rPr>
                <w:noProof/>
                <w:color w:val="000000"/>
                <w:sz w:val="12"/>
                <w:szCs w:val="12"/>
              </w:rPr>
            </w:pPr>
            <w:r w:rsidRPr="006E0441">
              <w:rPr>
                <w:noProof/>
                <w:color w:val="000000"/>
                <w:sz w:val="12"/>
                <w:szCs w:val="12"/>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pacing w:after="0"/>
              <w:rPr>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552622" w:rsidRPr="006E0441" w:rsidRDefault="00552622" w:rsidP="001B326D">
            <w:pPr>
              <w:spacing w:after="0"/>
              <w:jc w:val="right"/>
              <w:rPr>
                <w:sz w:val="12"/>
                <w:szCs w:val="12"/>
              </w:rPr>
            </w:pPr>
          </w:p>
        </w:tc>
        <w:tc>
          <w:tcPr>
            <w:tcW w:w="505" w:type="pct"/>
            <w:tcBorders>
              <w:top w:val="single" w:sz="4" w:space="0" w:color="auto"/>
              <w:left w:val="single" w:sz="4" w:space="0" w:color="auto"/>
              <w:bottom w:val="single" w:sz="4" w:space="0" w:color="auto"/>
              <w:right w:val="single" w:sz="4" w:space="0" w:color="auto"/>
            </w:tcBorders>
          </w:tcPr>
          <w:p w:rsidR="00552622" w:rsidRPr="006E0441" w:rsidRDefault="00552622" w:rsidP="001B326D">
            <w:pPr>
              <w:spacing w:after="0"/>
              <w:jc w:val="right"/>
              <w:rPr>
                <w:sz w:val="12"/>
                <w:szCs w:val="12"/>
              </w:rPr>
            </w:pPr>
            <w:r w:rsidRPr="006E0441">
              <w:rPr>
                <w:noProof/>
                <w:sz w:val="12"/>
                <w:szCs w:val="12"/>
              </w:rPr>
              <w:t>12.500.000,00</w:t>
            </w:r>
          </w:p>
        </w:tc>
        <w:tc>
          <w:tcPr>
            <w:tcW w:w="197" w:type="pct"/>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552622" w:rsidP="001B326D">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552622" w:rsidRPr="006E0441" w:rsidRDefault="007B5EFD">
            <w:pPr>
              <w:suppressAutoHyphens/>
              <w:spacing w:after="0"/>
              <w:jc w:val="right"/>
              <w:rPr>
                <w:noProof/>
                <w:color w:val="000000"/>
                <w:sz w:val="12"/>
                <w:szCs w:val="12"/>
              </w:rPr>
            </w:pPr>
            <w:r w:rsidRPr="006E0441">
              <w:rPr>
                <w:noProof/>
                <w:color w:val="000000"/>
                <w:sz w:val="12"/>
                <w:szCs w:val="12"/>
              </w:rPr>
              <w:t>60.895.075</w:t>
            </w:r>
            <w:r w:rsidR="00A854A1" w:rsidRPr="006E0441">
              <w:rPr>
                <w:noProof/>
                <w:color w:val="000000"/>
                <w:sz w:val="12"/>
                <w:szCs w:val="12"/>
              </w:rPr>
              <w:t>,00</w:t>
            </w:r>
          </w:p>
        </w:tc>
      </w:tr>
    </w:tbl>
    <w:p w:rsidR="00552622" w:rsidRPr="006E0441" w:rsidRDefault="00552622" w:rsidP="00552622">
      <w:pPr>
        <w:rPr>
          <w:b/>
          <w:noProof/>
        </w:rPr>
      </w:pPr>
    </w:p>
    <w:p w:rsidR="00552622" w:rsidRPr="006E0441" w:rsidRDefault="00552622" w:rsidP="00552622">
      <w:pPr>
        <w:jc w:val="both"/>
        <w:rPr>
          <w:rStyle w:val="Neenpoudarek"/>
          <w:rFonts w:cs="Arial"/>
          <w:i w:val="0"/>
          <w:color w:val="auto"/>
        </w:rPr>
      </w:pPr>
      <w:r w:rsidRPr="006E0441">
        <w:rPr>
          <w:rStyle w:val="Neenpoudarek"/>
          <w:rFonts w:cs="Arial"/>
          <w:color w:val="auto"/>
        </w:rPr>
        <w:t>Obrazložitev:</w:t>
      </w:r>
      <w:r w:rsidRPr="006E0441">
        <w:rPr>
          <w:rStyle w:val="Neenpoudarek"/>
          <w:rFonts w:cs="Arial"/>
          <w:i w:val="0"/>
          <w:color w:val="auto"/>
        </w:rPr>
        <w:t xml:space="preserve"> </w:t>
      </w:r>
    </w:p>
    <w:p w:rsidR="00552622" w:rsidRPr="006E0441" w:rsidRDefault="0079028C" w:rsidP="009C510D">
      <w:pPr>
        <w:jc w:val="both"/>
        <w:rPr>
          <w:rFonts w:ascii="Calibri" w:hAnsi="Calibri" w:cs="Helv"/>
          <w:color w:val="000000"/>
          <w:szCs w:val="20"/>
          <w:lang w:eastAsia="sl-SI"/>
        </w:rPr>
      </w:pPr>
      <w:r w:rsidRPr="006E0441">
        <w:rPr>
          <w:rFonts w:cs="Arial"/>
          <w:szCs w:val="20"/>
        </w:rPr>
        <w:t>P</w:t>
      </w:r>
      <w:r w:rsidR="00552622" w:rsidRPr="006E0441">
        <w:rPr>
          <w:rFonts w:cs="Arial"/>
          <w:szCs w:val="20"/>
        </w:rPr>
        <w:t xml:space="preserve">ravice porabe se na prednostni naložbi nižajo. </w:t>
      </w:r>
      <w:r w:rsidR="00552622" w:rsidRPr="006E0441">
        <w:rPr>
          <w:rFonts w:ascii="Calibri" w:hAnsi="Calibri" w:cs="Helv"/>
          <w:color w:val="000000"/>
          <w:szCs w:val="20"/>
          <w:lang w:eastAsia="sl-SI"/>
        </w:rPr>
        <w:t xml:space="preserve">Iz tega razloga se sorazmerno nižajo tudi finančni kazalniki od kocu obdobja. Upošteva se tudi nižaje, ki a je potrebno upoštevati za </w:t>
      </w:r>
      <w:r w:rsidR="00A854A1" w:rsidRPr="006E0441">
        <w:rPr>
          <w:rFonts w:ascii="Calibri" w:hAnsi="Calibri" w:cs="Helv"/>
          <w:color w:val="000000"/>
          <w:szCs w:val="20"/>
          <w:lang w:eastAsia="sl-SI"/>
        </w:rPr>
        <w:t>pre</w:t>
      </w:r>
      <w:r w:rsidR="00552622" w:rsidRPr="006E0441">
        <w:rPr>
          <w:rFonts w:ascii="Calibri" w:hAnsi="Calibri" w:cs="Helv"/>
          <w:color w:val="000000"/>
          <w:szCs w:val="20"/>
          <w:lang w:eastAsia="sl-SI"/>
        </w:rPr>
        <w:t xml:space="preserve">razporeditve sredstev iz naslova okvira uspešnosti. </w:t>
      </w:r>
    </w:p>
    <w:p w:rsidR="009D61E9" w:rsidRPr="006E0441" w:rsidRDefault="009D61E9" w:rsidP="00F150B2">
      <w:pPr>
        <w:pStyle w:val="Naslov4"/>
        <w:rPr>
          <w:b/>
        </w:rPr>
      </w:pPr>
    </w:p>
    <w:p w:rsidR="00F150B2" w:rsidRPr="006E0441" w:rsidRDefault="00F150B2" w:rsidP="00F150B2">
      <w:pPr>
        <w:pStyle w:val="Naslov4"/>
        <w:rPr>
          <w:b/>
        </w:rPr>
      </w:pPr>
      <w:r w:rsidRPr="006E0441">
        <w:rPr>
          <w:b/>
        </w:rPr>
        <w:t>PREDNOSTNA OS 6</w:t>
      </w:r>
    </w:p>
    <w:p w:rsidR="00C65266" w:rsidRPr="006E0441" w:rsidRDefault="00C65266" w:rsidP="00C65266">
      <w:pPr>
        <w:rPr>
          <w:b/>
          <w:noProof/>
        </w:rPr>
      </w:pPr>
    </w:p>
    <w:p w:rsidR="00C65266" w:rsidRPr="006E0441" w:rsidRDefault="00C65266" w:rsidP="00C65266">
      <w:pPr>
        <w:rPr>
          <w:b/>
          <w:noProof/>
        </w:rPr>
      </w:pPr>
      <w:r w:rsidRPr="006E0441">
        <w:rPr>
          <w:b/>
          <w:noProof/>
        </w:rPr>
        <w:t>OP 5.0 - stanje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361"/>
        <w:gridCol w:w="763"/>
        <w:gridCol w:w="975"/>
        <w:gridCol w:w="1324"/>
        <w:gridCol w:w="1111"/>
        <w:gridCol w:w="391"/>
        <w:gridCol w:w="312"/>
        <w:gridCol w:w="915"/>
        <w:gridCol w:w="445"/>
        <w:gridCol w:w="355"/>
        <w:gridCol w:w="1110"/>
      </w:tblGrid>
      <w:tr w:rsidR="00552622" w:rsidRPr="006E0441" w:rsidTr="001B326D">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sz w:val="16"/>
                <w:szCs w:val="16"/>
              </w:rPr>
            </w:pPr>
            <w:r w:rsidRPr="006E0441">
              <w:rPr>
                <w:b/>
                <w:noProof/>
                <w:sz w:val="16"/>
                <w:szCs w:val="16"/>
              </w:rPr>
              <w:t>Prednostna os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22" w:rsidRPr="006E0441" w:rsidRDefault="00552622" w:rsidP="001B326D">
            <w:pPr>
              <w:spacing w:after="0"/>
              <w:jc w:val="center"/>
              <w:rPr>
                <w:b/>
                <w:color w:val="FF0000"/>
                <w:sz w:val="16"/>
                <w:szCs w:val="16"/>
              </w:rPr>
            </w:pPr>
            <w:r w:rsidRPr="006E0441">
              <w:rPr>
                <w:b/>
                <w:noProof/>
                <w:sz w:val="16"/>
                <w:szCs w:val="16"/>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552622" w:rsidRPr="006E0441" w:rsidRDefault="00552622" w:rsidP="001B326D">
            <w:pPr>
              <w:spacing w:after="0"/>
              <w:jc w:val="center"/>
              <w:rPr>
                <w:b/>
                <w:color w:val="FF0000"/>
                <w:sz w:val="16"/>
                <w:szCs w:val="16"/>
              </w:rPr>
            </w:pPr>
            <w:r w:rsidRPr="006E0441">
              <w:rPr>
                <w:b/>
                <w:noProof/>
                <w:sz w:val="16"/>
                <w:szCs w:val="16"/>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552622" w:rsidRPr="006E0441" w:rsidRDefault="00552622" w:rsidP="001B326D">
            <w:pPr>
              <w:spacing w:after="0"/>
              <w:jc w:val="center"/>
              <w:rPr>
                <w:b/>
                <w:color w:val="FF0000"/>
                <w:sz w:val="16"/>
                <w:szCs w:val="16"/>
              </w:rPr>
            </w:pPr>
            <w:r w:rsidRPr="006E0441">
              <w:rPr>
                <w:b/>
                <w:noProof/>
                <w:sz w:val="16"/>
                <w:szCs w:val="16"/>
              </w:rPr>
              <w:t>Končna ciljna vrednost (za leto 2023)</w:t>
            </w:r>
          </w:p>
        </w:tc>
      </w:tr>
      <w:tr w:rsidR="007B5EFD" w:rsidRPr="006E0441" w:rsidTr="00C65266">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B5EFD" w:rsidRPr="006E0441" w:rsidRDefault="007B5EFD" w:rsidP="007B5EFD">
            <w:pPr>
              <w:spacing w:after="0"/>
              <w:rPr>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5EFD" w:rsidRPr="006E0441" w:rsidRDefault="007B5EFD" w:rsidP="007B5EFD">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5EFD" w:rsidRPr="006E0441" w:rsidRDefault="007B5EFD" w:rsidP="007B5EFD">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5EFD" w:rsidRPr="006E0441" w:rsidRDefault="007B5EFD" w:rsidP="007B5EFD">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5EFD" w:rsidRPr="006E0441" w:rsidRDefault="007B5EFD" w:rsidP="007B5EFD">
            <w:pPr>
              <w:spacing w:after="0"/>
              <w:rPr>
                <w:b/>
                <w:color w:val="FF0000"/>
                <w:sz w:val="20"/>
              </w:rPr>
            </w:pPr>
          </w:p>
        </w:tc>
        <w:tc>
          <w:tcPr>
            <w:tcW w:w="0" w:type="auto"/>
            <w:tcBorders>
              <w:left w:val="single" w:sz="4" w:space="0" w:color="auto"/>
              <w:bottom w:val="single" w:sz="4" w:space="0" w:color="auto"/>
              <w:right w:val="single" w:sz="4" w:space="0" w:color="auto"/>
            </w:tcBorders>
            <w:shd w:val="clear" w:color="auto" w:fill="auto"/>
            <w:hideMark/>
          </w:tcPr>
          <w:p w:rsidR="007B5EFD" w:rsidRPr="006E0441" w:rsidRDefault="007B5EFD" w:rsidP="007B5EFD">
            <w:pPr>
              <w:spacing w:after="0"/>
              <w:jc w:val="center"/>
              <w:rPr>
                <w:b/>
                <w:sz w:val="20"/>
              </w:rPr>
            </w:pPr>
            <w:r w:rsidRPr="006E0441">
              <w:rPr>
                <w:b/>
                <w:noProof/>
                <w:sz w:val="20"/>
              </w:rPr>
              <w:t>M</w:t>
            </w:r>
          </w:p>
        </w:tc>
        <w:tc>
          <w:tcPr>
            <w:tcW w:w="0" w:type="auto"/>
            <w:tcBorders>
              <w:left w:val="single" w:sz="4" w:space="0" w:color="auto"/>
              <w:bottom w:val="single" w:sz="4" w:space="0" w:color="auto"/>
              <w:right w:val="single" w:sz="4" w:space="0" w:color="auto"/>
            </w:tcBorders>
            <w:shd w:val="clear" w:color="auto" w:fill="auto"/>
          </w:tcPr>
          <w:p w:rsidR="007B5EFD" w:rsidRPr="006E0441" w:rsidRDefault="007B5EFD" w:rsidP="007B5EFD">
            <w:pPr>
              <w:spacing w:after="0"/>
              <w:jc w:val="center"/>
              <w:rPr>
                <w:b/>
                <w:sz w:val="20"/>
              </w:rPr>
            </w:pPr>
            <w:r w:rsidRPr="006E0441">
              <w:rPr>
                <w:b/>
                <w:noProof/>
                <w:sz w:val="20"/>
              </w:rPr>
              <w:t>Ž</w:t>
            </w:r>
          </w:p>
        </w:tc>
        <w:tc>
          <w:tcPr>
            <w:tcW w:w="0" w:type="auto"/>
            <w:tcBorders>
              <w:left w:val="single" w:sz="4" w:space="0" w:color="auto"/>
              <w:bottom w:val="single" w:sz="4" w:space="0" w:color="auto"/>
              <w:right w:val="single" w:sz="4" w:space="0" w:color="auto"/>
            </w:tcBorders>
            <w:shd w:val="clear" w:color="auto" w:fill="auto"/>
          </w:tcPr>
          <w:p w:rsidR="007B5EFD" w:rsidRPr="006E0441" w:rsidRDefault="007B5EFD" w:rsidP="007B5EFD">
            <w:pPr>
              <w:spacing w:after="0"/>
              <w:jc w:val="center"/>
              <w:rPr>
                <w:b/>
                <w:sz w:val="20"/>
              </w:rPr>
            </w:pPr>
            <w:r w:rsidRPr="006E0441">
              <w:rPr>
                <w:b/>
                <w:noProof/>
                <w:sz w:val="20"/>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B5EFD" w:rsidRPr="006E0441" w:rsidRDefault="007B5EFD" w:rsidP="007B5EFD">
            <w:pPr>
              <w:spacing w:after="0"/>
              <w:jc w:val="center"/>
              <w:rPr>
                <w:b/>
                <w:sz w:val="20"/>
              </w:rPr>
            </w:pPr>
            <w:r w:rsidRPr="006E0441">
              <w:rPr>
                <w:b/>
                <w:noProof/>
                <w:sz w:val="20"/>
              </w:rPr>
              <w:t>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B5EFD" w:rsidRPr="006E0441" w:rsidRDefault="007B5EFD" w:rsidP="007B5EFD">
            <w:pPr>
              <w:spacing w:after="0"/>
              <w:jc w:val="center"/>
              <w:rPr>
                <w:b/>
                <w:sz w:val="20"/>
              </w:rPr>
            </w:pPr>
            <w:r w:rsidRPr="006E0441">
              <w:rPr>
                <w:b/>
                <w:noProof/>
                <w:sz w:val="20"/>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7B5EFD" w:rsidRPr="006E0441" w:rsidRDefault="007B5EFD" w:rsidP="007B5EFD">
            <w:pPr>
              <w:spacing w:after="0"/>
              <w:jc w:val="center"/>
              <w:rPr>
                <w:b/>
                <w:sz w:val="20"/>
              </w:rPr>
            </w:pPr>
            <w:r w:rsidRPr="006E0441">
              <w:rPr>
                <w:b/>
                <w:noProof/>
                <w:sz w:val="20"/>
              </w:rPr>
              <w:t>Skupaj</w:t>
            </w:r>
          </w:p>
        </w:tc>
      </w:tr>
      <w:tr w:rsidR="007B5EFD" w:rsidRPr="006E0441" w:rsidTr="001B326D">
        <w:trPr>
          <w:trHeight w:val="291"/>
        </w:trPr>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rPr>
                <w:sz w:val="12"/>
                <w:szCs w:val="12"/>
              </w:rPr>
            </w:pPr>
            <w:r w:rsidRPr="006E0441">
              <w:rPr>
                <w:noProof/>
                <w:color w:val="000000"/>
                <w:sz w:val="12"/>
                <w:szCs w:val="12"/>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rPr>
                <w:noProof/>
                <w:color w:val="000000"/>
                <w:sz w:val="12"/>
                <w:szCs w:val="12"/>
              </w:rPr>
            </w:pPr>
            <w:r w:rsidRPr="006E0441">
              <w:rPr>
                <w:noProof/>
                <w:color w:val="000000"/>
                <w:sz w:val="12"/>
                <w:szCs w:val="12"/>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pacing w:after="0"/>
              <w:rPr>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7B5EFD" w:rsidRPr="006E0441" w:rsidRDefault="007B5EFD" w:rsidP="007B5EFD">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7B5EFD" w:rsidRPr="006E0441" w:rsidRDefault="007B5EFD" w:rsidP="007B5EFD">
            <w:pPr>
              <w:spacing w:after="0"/>
              <w:jc w:val="right"/>
              <w:rPr>
                <w:sz w:val="12"/>
                <w:szCs w:val="12"/>
              </w:rPr>
            </w:pPr>
            <w:r w:rsidRPr="006E0441">
              <w:rPr>
                <w:noProof/>
                <w:sz w:val="12"/>
                <w:szCs w:val="12"/>
              </w:rPr>
              <w:t>60.000.000,00</w:t>
            </w: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jc w:val="right"/>
              <w:rPr>
                <w:color w:val="000000"/>
                <w:sz w:val="12"/>
                <w:szCs w:val="12"/>
              </w:rPr>
            </w:pPr>
            <w:r w:rsidRPr="006E0441">
              <w:rPr>
                <w:noProof/>
                <w:color w:val="000000"/>
                <w:sz w:val="12"/>
                <w:szCs w:val="12"/>
              </w:rPr>
              <w:t>333.939.960,00</w:t>
            </w:r>
          </w:p>
        </w:tc>
      </w:tr>
    </w:tbl>
    <w:p w:rsidR="00552622" w:rsidRPr="006E0441" w:rsidRDefault="00552622" w:rsidP="00552622"/>
    <w:p w:rsidR="00C65266" w:rsidRPr="006E0441" w:rsidRDefault="00C65266" w:rsidP="00C65266">
      <w:pPr>
        <w:rPr>
          <w:b/>
          <w:noProof/>
        </w:rPr>
      </w:pPr>
      <w:r w:rsidRPr="006E0441">
        <w:rPr>
          <w:b/>
          <w:noProof/>
        </w:rPr>
        <w:t>Predlog OP 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361"/>
        <w:gridCol w:w="763"/>
        <w:gridCol w:w="975"/>
        <w:gridCol w:w="1324"/>
        <w:gridCol w:w="1111"/>
        <w:gridCol w:w="391"/>
        <w:gridCol w:w="312"/>
        <w:gridCol w:w="915"/>
        <w:gridCol w:w="445"/>
        <w:gridCol w:w="355"/>
        <w:gridCol w:w="1110"/>
      </w:tblGrid>
      <w:tr w:rsidR="00C65266" w:rsidRPr="006E0441" w:rsidTr="001B326D">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5266" w:rsidRPr="006E0441" w:rsidRDefault="00C65266" w:rsidP="001B326D">
            <w:pPr>
              <w:spacing w:after="0"/>
              <w:jc w:val="center"/>
              <w:rPr>
                <w:b/>
                <w:sz w:val="16"/>
                <w:szCs w:val="16"/>
              </w:rPr>
            </w:pPr>
            <w:r w:rsidRPr="006E0441">
              <w:rPr>
                <w:b/>
                <w:noProof/>
                <w:sz w:val="16"/>
                <w:szCs w:val="16"/>
              </w:rPr>
              <w:t>Prednostna os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5266" w:rsidRPr="006E0441" w:rsidRDefault="00C65266" w:rsidP="001B326D">
            <w:pPr>
              <w:spacing w:after="0"/>
              <w:jc w:val="center"/>
              <w:rPr>
                <w:b/>
                <w:color w:val="FF0000"/>
                <w:sz w:val="16"/>
                <w:szCs w:val="16"/>
              </w:rPr>
            </w:pPr>
            <w:r w:rsidRPr="006E0441">
              <w:rPr>
                <w:b/>
                <w:noProof/>
                <w:sz w:val="16"/>
                <w:szCs w:val="16"/>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5266" w:rsidRPr="006E0441" w:rsidRDefault="00C65266" w:rsidP="001B326D">
            <w:pPr>
              <w:spacing w:after="0"/>
              <w:jc w:val="center"/>
              <w:rPr>
                <w:b/>
                <w:color w:val="FF0000"/>
                <w:sz w:val="16"/>
                <w:szCs w:val="16"/>
              </w:rPr>
            </w:pPr>
            <w:r w:rsidRPr="006E0441">
              <w:rPr>
                <w:b/>
                <w:noProof/>
                <w:sz w:val="16"/>
                <w:szCs w:val="16"/>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5266" w:rsidRPr="006E0441" w:rsidRDefault="00C65266" w:rsidP="001B326D">
            <w:pPr>
              <w:spacing w:after="0"/>
              <w:jc w:val="center"/>
              <w:rPr>
                <w:b/>
                <w:color w:val="FF0000"/>
                <w:sz w:val="16"/>
                <w:szCs w:val="16"/>
              </w:rPr>
            </w:pPr>
            <w:r w:rsidRPr="006E0441">
              <w:rPr>
                <w:b/>
                <w:noProof/>
                <w:sz w:val="16"/>
                <w:szCs w:val="16"/>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5266" w:rsidRPr="006E0441" w:rsidRDefault="00C65266" w:rsidP="001B326D">
            <w:pPr>
              <w:spacing w:after="0"/>
              <w:jc w:val="center"/>
              <w:rPr>
                <w:b/>
                <w:color w:val="FF0000"/>
                <w:sz w:val="16"/>
                <w:szCs w:val="16"/>
              </w:rPr>
            </w:pPr>
            <w:r w:rsidRPr="006E0441">
              <w:rPr>
                <w:b/>
                <w:noProof/>
                <w:sz w:val="16"/>
                <w:szCs w:val="16"/>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C65266" w:rsidRPr="006E0441" w:rsidRDefault="00C65266" w:rsidP="001B326D">
            <w:pPr>
              <w:spacing w:after="0"/>
              <w:jc w:val="center"/>
              <w:rPr>
                <w:b/>
                <w:color w:val="FF0000"/>
                <w:sz w:val="16"/>
                <w:szCs w:val="16"/>
              </w:rPr>
            </w:pPr>
            <w:r w:rsidRPr="006E0441">
              <w:rPr>
                <w:b/>
                <w:noProof/>
                <w:sz w:val="16"/>
                <w:szCs w:val="16"/>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C65266" w:rsidRPr="006E0441" w:rsidRDefault="00C65266" w:rsidP="001B326D">
            <w:pPr>
              <w:spacing w:after="0"/>
              <w:jc w:val="center"/>
              <w:rPr>
                <w:b/>
                <w:color w:val="FF0000"/>
                <w:sz w:val="16"/>
                <w:szCs w:val="16"/>
              </w:rPr>
            </w:pPr>
            <w:r w:rsidRPr="006E0441">
              <w:rPr>
                <w:b/>
                <w:noProof/>
                <w:sz w:val="16"/>
                <w:szCs w:val="16"/>
              </w:rPr>
              <w:t>Končna ciljna vrednost (za leto 2023)</w:t>
            </w:r>
          </w:p>
        </w:tc>
      </w:tr>
      <w:tr w:rsidR="007B5EFD" w:rsidRPr="006E0441" w:rsidTr="001B326D">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B5EFD" w:rsidRPr="006E0441" w:rsidRDefault="007B5EFD" w:rsidP="007B5EFD">
            <w:pPr>
              <w:spacing w:after="0"/>
              <w:rPr>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5EFD" w:rsidRPr="006E0441" w:rsidRDefault="007B5EFD" w:rsidP="007B5EFD">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5EFD" w:rsidRPr="006E0441" w:rsidRDefault="007B5EFD" w:rsidP="007B5EFD">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5EFD" w:rsidRPr="006E0441" w:rsidRDefault="007B5EFD" w:rsidP="007B5EFD">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5EFD" w:rsidRPr="006E0441" w:rsidRDefault="007B5EFD" w:rsidP="007B5EFD">
            <w:pPr>
              <w:spacing w:after="0"/>
              <w:rPr>
                <w:b/>
                <w:color w:val="FF0000"/>
                <w:sz w:val="20"/>
              </w:rPr>
            </w:pPr>
          </w:p>
        </w:tc>
        <w:tc>
          <w:tcPr>
            <w:tcW w:w="0" w:type="auto"/>
            <w:tcBorders>
              <w:left w:val="single" w:sz="4" w:space="0" w:color="auto"/>
              <w:bottom w:val="single" w:sz="4" w:space="0" w:color="auto"/>
              <w:right w:val="single" w:sz="4" w:space="0" w:color="auto"/>
            </w:tcBorders>
            <w:shd w:val="clear" w:color="auto" w:fill="auto"/>
            <w:hideMark/>
          </w:tcPr>
          <w:p w:rsidR="007B5EFD" w:rsidRPr="006E0441" w:rsidRDefault="007B5EFD" w:rsidP="007B5EFD">
            <w:pPr>
              <w:spacing w:after="0"/>
              <w:jc w:val="center"/>
              <w:rPr>
                <w:b/>
                <w:sz w:val="20"/>
              </w:rPr>
            </w:pPr>
            <w:r w:rsidRPr="006E0441">
              <w:rPr>
                <w:b/>
                <w:noProof/>
                <w:sz w:val="20"/>
              </w:rPr>
              <w:t>M</w:t>
            </w:r>
          </w:p>
        </w:tc>
        <w:tc>
          <w:tcPr>
            <w:tcW w:w="0" w:type="auto"/>
            <w:tcBorders>
              <w:left w:val="single" w:sz="4" w:space="0" w:color="auto"/>
              <w:bottom w:val="single" w:sz="4" w:space="0" w:color="auto"/>
              <w:right w:val="single" w:sz="4" w:space="0" w:color="auto"/>
            </w:tcBorders>
            <w:shd w:val="clear" w:color="auto" w:fill="auto"/>
          </w:tcPr>
          <w:p w:rsidR="007B5EFD" w:rsidRPr="006E0441" w:rsidRDefault="007B5EFD" w:rsidP="007B5EFD">
            <w:pPr>
              <w:spacing w:after="0"/>
              <w:jc w:val="center"/>
              <w:rPr>
                <w:b/>
                <w:sz w:val="20"/>
              </w:rPr>
            </w:pPr>
            <w:r w:rsidRPr="006E0441">
              <w:rPr>
                <w:b/>
                <w:noProof/>
                <w:sz w:val="20"/>
              </w:rPr>
              <w:t>Ž</w:t>
            </w:r>
          </w:p>
        </w:tc>
        <w:tc>
          <w:tcPr>
            <w:tcW w:w="0" w:type="auto"/>
            <w:tcBorders>
              <w:left w:val="single" w:sz="4" w:space="0" w:color="auto"/>
              <w:bottom w:val="single" w:sz="4" w:space="0" w:color="auto"/>
              <w:right w:val="single" w:sz="4" w:space="0" w:color="auto"/>
            </w:tcBorders>
            <w:shd w:val="clear" w:color="auto" w:fill="auto"/>
          </w:tcPr>
          <w:p w:rsidR="007B5EFD" w:rsidRPr="006E0441" w:rsidRDefault="007B5EFD" w:rsidP="007B5EFD">
            <w:pPr>
              <w:spacing w:after="0"/>
              <w:jc w:val="center"/>
              <w:rPr>
                <w:b/>
                <w:sz w:val="20"/>
              </w:rPr>
            </w:pPr>
            <w:r w:rsidRPr="006E0441">
              <w:rPr>
                <w:b/>
                <w:noProof/>
                <w:sz w:val="20"/>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B5EFD" w:rsidRPr="006E0441" w:rsidRDefault="007B5EFD" w:rsidP="007B5EFD">
            <w:pPr>
              <w:spacing w:after="0"/>
              <w:jc w:val="center"/>
              <w:rPr>
                <w:b/>
                <w:sz w:val="20"/>
              </w:rPr>
            </w:pPr>
            <w:r w:rsidRPr="006E0441">
              <w:rPr>
                <w:b/>
                <w:noProof/>
                <w:sz w:val="20"/>
              </w:rPr>
              <w:t>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B5EFD" w:rsidRPr="006E0441" w:rsidRDefault="007B5EFD" w:rsidP="007B5EFD">
            <w:pPr>
              <w:spacing w:after="0"/>
              <w:jc w:val="center"/>
              <w:rPr>
                <w:b/>
                <w:sz w:val="20"/>
              </w:rPr>
            </w:pPr>
            <w:r w:rsidRPr="006E0441">
              <w:rPr>
                <w:b/>
                <w:noProof/>
                <w:sz w:val="20"/>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7B5EFD" w:rsidRPr="006E0441" w:rsidRDefault="007B5EFD" w:rsidP="007B5EFD">
            <w:pPr>
              <w:spacing w:after="0"/>
              <w:jc w:val="center"/>
              <w:rPr>
                <w:b/>
                <w:sz w:val="20"/>
              </w:rPr>
            </w:pPr>
            <w:r w:rsidRPr="006E0441">
              <w:rPr>
                <w:b/>
                <w:noProof/>
                <w:sz w:val="20"/>
              </w:rPr>
              <w:t>Skupaj</w:t>
            </w:r>
          </w:p>
        </w:tc>
      </w:tr>
      <w:tr w:rsidR="007B5EFD" w:rsidRPr="006E0441" w:rsidTr="001B326D">
        <w:trPr>
          <w:trHeight w:val="291"/>
        </w:trPr>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rPr>
                <w:sz w:val="12"/>
                <w:szCs w:val="12"/>
              </w:rPr>
            </w:pPr>
            <w:r w:rsidRPr="006E0441">
              <w:rPr>
                <w:noProof/>
                <w:color w:val="000000"/>
                <w:sz w:val="12"/>
                <w:szCs w:val="12"/>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rPr>
                <w:noProof/>
                <w:color w:val="000000"/>
                <w:sz w:val="12"/>
                <w:szCs w:val="12"/>
              </w:rPr>
            </w:pPr>
            <w:r w:rsidRPr="006E0441">
              <w:rPr>
                <w:noProof/>
                <w:color w:val="000000"/>
                <w:sz w:val="12"/>
                <w:szCs w:val="12"/>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pacing w:after="0"/>
              <w:rPr>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7B5EFD" w:rsidRPr="006E0441" w:rsidRDefault="007B5EFD" w:rsidP="007B5EFD">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7B5EFD" w:rsidRPr="006E0441" w:rsidRDefault="007B5EFD" w:rsidP="007B5EFD">
            <w:pPr>
              <w:spacing w:after="0"/>
              <w:jc w:val="right"/>
              <w:rPr>
                <w:sz w:val="12"/>
                <w:szCs w:val="12"/>
              </w:rPr>
            </w:pPr>
            <w:r w:rsidRPr="006E0441">
              <w:rPr>
                <w:noProof/>
                <w:sz w:val="12"/>
                <w:szCs w:val="12"/>
              </w:rPr>
              <w:t>60.000.000,00</w:t>
            </w: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rsidP="007B5EFD">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7B5EFD" w:rsidRPr="006E0441" w:rsidRDefault="007B5EFD">
            <w:pPr>
              <w:suppressAutoHyphens/>
              <w:spacing w:after="0"/>
              <w:jc w:val="right"/>
              <w:rPr>
                <w:noProof/>
                <w:color w:val="000000"/>
                <w:sz w:val="12"/>
                <w:szCs w:val="12"/>
              </w:rPr>
            </w:pPr>
            <w:r w:rsidRPr="006E0441">
              <w:rPr>
                <w:noProof/>
                <w:color w:val="000000"/>
                <w:sz w:val="12"/>
                <w:szCs w:val="12"/>
              </w:rPr>
              <w:t>340.057.607,00</w:t>
            </w:r>
          </w:p>
        </w:tc>
      </w:tr>
    </w:tbl>
    <w:p w:rsidR="00552622" w:rsidRPr="006E0441" w:rsidRDefault="00552622" w:rsidP="00552622"/>
    <w:p w:rsidR="00C65266" w:rsidRPr="006E0441" w:rsidRDefault="00C65266" w:rsidP="00C65266">
      <w:pPr>
        <w:jc w:val="both"/>
        <w:rPr>
          <w:rStyle w:val="Neenpoudarek"/>
          <w:rFonts w:cs="Arial"/>
          <w:i w:val="0"/>
          <w:color w:val="auto"/>
        </w:rPr>
      </w:pPr>
      <w:r w:rsidRPr="006E0441">
        <w:rPr>
          <w:rStyle w:val="Neenpoudarek"/>
          <w:rFonts w:cs="Arial"/>
          <w:color w:val="auto"/>
        </w:rPr>
        <w:lastRenderedPageBreak/>
        <w:t>Obrazložitev:</w:t>
      </w:r>
      <w:r w:rsidRPr="006E0441">
        <w:rPr>
          <w:rStyle w:val="Neenpoudarek"/>
          <w:rFonts w:cs="Arial"/>
          <w:i w:val="0"/>
          <w:color w:val="auto"/>
        </w:rPr>
        <w:t xml:space="preserve"> </w:t>
      </w:r>
    </w:p>
    <w:p w:rsidR="00C65266" w:rsidRPr="006E0441" w:rsidRDefault="00C65266" w:rsidP="00C65266">
      <w:pPr>
        <w:rPr>
          <w:rFonts w:ascii="Calibri" w:hAnsi="Calibri" w:cs="Helv"/>
          <w:caps/>
          <w:color w:val="000000"/>
          <w:szCs w:val="20"/>
          <w:lang w:eastAsia="sl-SI"/>
        </w:rPr>
      </w:pPr>
      <w:r w:rsidRPr="006E0441">
        <w:rPr>
          <w:rFonts w:cs="Arial"/>
          <w:szCs w:val="20"/>
        </w:rPr>
        <w:t xml:space="preserve">pravice porabe se na prednostni naložbi višajo. </w:t>
      </w:r>
      <w:r w:rsidRPr="006E0441">
        <w:rPr>
          <w:rFonts w:ascii="Calibri" w:hAnsi="Calibri" w:cs="Helv"/>
          <w:color w:val="000000"/>
          <w:szCs w:val="20"/>
          <w:lang w:eastAsia="sl-SI"/>
        </w:rPr>
        <w:t>Iz tega razloga se sorazmerno zvišajo tudi finančni kazalniki od kocu obdobja.</w:t>
      </w:r>
    </w:p>
    <w:p w:rsidR="007B5EFD" w:rsidRPr="006E0441" w:rsidRDefault="007B5EFD" w:rsidP="00F150B2"/>
    <w:p w:rsidR="00F150B2" w:rsidRPr="006E0441" w:rsidRDefault="00F150B2" w:rsidP="00F150B2">
      <w:pPr>
        <w:pStyle w:val="Naslov4"/>
        <w:rPr>
          <w:b/>
        </w:rPr>
      </w:pPr>
      <w:r w:rsidRPr="006E0441">
        <w:rPr>
          <w:b/>
        </w:rPr>
        <w:t>PREDNOSTNA OS 7</w:t>
      </w:r>
    </w:p>
    <w:p w:rsidR="00CA4F1C" w:rsidRPr="006E0441" w:rsidRDefault="00CA4F1C" w:rsidP="00F150B2">
      <w:pPr>
        <w:rPr>
          <w:b/>
          <w:noProof/>
        </w:rPr>
      </w:pPr>
    </w:p>
    <w:p w:rsidR="00F150B2" w:rsidRPr="006E0441" w:rsidRDefault="00F150B2" w:rsidP="00F150B2">
      <w:pPr>
        <w:rPr>
          <w:b/>
          <w:noProof/>
        </w:rPr>
      </w:pPr>
      <w:r w:rsidRPr="006E0441">
        <w:rPr>
          <w:b/>
          <w:noProof/>
        </w:rPr>
        <w:t>OP 5.0 - stanje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596"/>
        <w:gridCol w:w="757"/>
        <w:gridCol w:w="967"/>
        <w:gridCol w:w="1291"/>
        <w:gridCol w:w="1080"/>
        <w:gridCol w:w="393"/>
        <w:gridCol w:w="314"/>
        <w:gridCol w:w="776"/>
        <w:gridCol w:w="440"/>
        <w:gridCol w:w="351"/>
        <w:gridCol w:w="1097"/>
      </w:tblGrid>
      <w:tr w:rsidR="00F150B2" w:rsidRPr="006E0441" w:rsidTr="004C797B">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B2" w:rsidRPr="006E0441" w:rsidRDefault="00F150B2" w:rsidP="004C797B">
            <w:pPr>
              <w:spacing w:after="0"/>
              <w:jc w:val="center"/>
              <w:rPr>
                <w:b/>
                <w:sz w:val="16"/>
                <w:szCs w:val="16"/>
              </w:rPr>
            </w:pPr>
            <w:r w:rsidRPr="006E0441">
              <w:rPr>
                <w:b/>
                <w:noProof/>
                <w:sz w:val="16"/>
                <w:szCs w:val="16"/>
              </w:rPr>
              <w:t>Prednostna os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B2" w:rsidRPr="006E0441" w:rsidRDefault="00F150B2" w:rsidP="004C797B">
            <w:pPr>
              <w:spacing w:after="0"/>
              <w:jc w:val="center"/>
              <w:rPr>
                <w:b/>
                <w:color w:val="FF0000"/>
                <w:sz w:val="16"/>
                <w:szCs w:val="16"/>
              </w:rPr>
            </w:pPr>
            <w:r w:rsidRPr="006E0441">
              <w:rPr>
                <w:b/>
                <w:noProof/>
                <w:sz w:val="16"/>
                <w:szCs w:val="16"/>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B2" w:rsidRPr="006E0441" w:rsidRDefault="00F150B2" w:rsidP="004C797B">
            <w:pPr>
              <w:spacing w:after="0"/>
              <w:jc w:val="center"/>
              <w:rPr>
                <w:b/>
                <w:color w:val="FF0000"/>
                <w:sz w:val="16"/>
                <w:szCs w:val="16"/>
              </w:rPr>
            </w:pPr>
            <w:r w:rsidRPr="006E0441">
              <w:rPr>
                <w:b/>
                <w:noProof/>
                <w:sz w:val="16"/>
                <w:szCs w:val="16"/>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B2" w:rsidRPr="006E0441" w:rsidRDefault="00F150B2" w:rsidP="004C797B">
            <w:pPr>
              <w:spacing w:after="0"/>
              <w:jc w:val="center"/>
              <w:rPr>
                <w:b/>
                <w:color w:val="FF0000"/>
                <w:sz w:val="16"/>
                <w:szCs w:val="16"/>
              </w:rPr>
            </w:pPr>
            <w:r w:rsidRPr="006E0441">
              <w:rPr>
                <w:b/>
                <w:noProof/>
                <w:sz w:val="16"/>
                <w:szCs w:val="16"/>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B2" w:rsidRPr="006E0441" w:rsidRDefault="00F150B2" w:rsidP="004C797B">
            <w:pPr>
              <w:spacing w:after="0"/>
              <w:jc w:val="center"/>
              <w:rPr>
                <w:b/>
                <w:color w:val="FF0000"/>
                <w:sz w:val="16"/>
                <w:szCs w:val="16"/>
              </w:rPr>
            </w:pPr>
            <w:r w:rsidRPr="006E0441">
              <w:rPr>
                <w:b/>
                <w:noProof/>
                <w:sz w:val="16"/>
                <w:szCs w:val="16"/>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F150B2" w:rsidRPr="006E0441" w:rsidRDefault="00F150B2" w:rsidP="004C797B">
            <w:pPr>
              <w:spacing w:after="0"/>
              <w:jc w:val="center"/>
              <w:rPr>
                <w:b/>
                <w:color w:val="FF0000"/>
                <w:sz w:val="16"/>
                <w:szCs w:val="16"/>
              </w:rPr>
            </w:pPr>
            <w:r w:rsidRPr="006E0441">
              <w:rPr>
                <w:b/>
                <w:noProof/>
                <w:sz w:val="16"/>
                <w:szCs w:val="16"/>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F150B2" w:rsidRPr="006E0441" w:rsidRDefault="00F150B2" w:rsidP="004C797B">
            <w:pPr>
              <w:spacing w:after="0"/>
              <w:jc w:val="center"/>
              <w:rPr>
                <w:b/>
                <w:color w:val="FF0000"/>
                <w:sz w:val="16"/>
                <w:szCs w:val="16"/>
              </w:rPr>
            </w:pPr>
            <w:r w:rsidRPr="006E0441">
              <w:rPr>
                <w:b/>
                <w:noProof/>
                <w:sz w:val="16"/>
                <w:szCs w:val="16"/>
              </w:rPr>
              <w:t>Končna ciljna vrednost (za leto 2023)</w:t>
            </w:r>
          </w:p>
        </w:tc>
      </w:tr>
      <w:tr w:rsidR="00F150B2" w:rsidRPr="006E0441" w:rsidTr="004C797B">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0B2" w:rsidRPr="006E0441" w:rsidRDefault="00F150B2" w:rsidP="004C797B">
            <w:pPr>
              <w:spacing w:after="0"/>
              <w:rPr>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0B2" w:rsidRPr="006E0441" w:rsidRDefault="00F150B2" w:rsidP="004C797B">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0B2" w:rsidRPr="006E0441" w:rsidRDefault="00F150B2" w:rsidP="004C797B">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0B2" w:rsidRPr="006E0441" w:rsidRDefault="00F150B2" w:rsidP="004C797B">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0B2" w:rsidRPr="006E0441" w:rsidRDefault="00F150B2" w:rsidP="004C797B">
            <w:pPr>
              <w:spacing w:after="0"/>
              <w:rPr>
                <w:b/>
                <w:color w:val="FF0000"/>
                <w:sz w:val="20"/>
              </w:rPr>
            </w:pPr>
          </w:p>
        </w:tc>
        <w:tc>
          <w:tcPr>
            <w:tcW w:w="0" w:type="auto"/>
            <w:tcBorders>
              <w:left w:val="single" w:sz="4" w:space="0" w:color="auto"/>
              <w:bottom w:val="single" w:sz="4" w:space="0" w:color="auto"/>
              <w:right w:val="single" w:sz="4" w:space="0" w:color="auto"/>
            </w:tcBorders>
            <w:shd w:val="clear" w:color="auto" w:fill="auto"/>
            <w:hideMark/>
          </w:tcPr>
          <w:p w:rsidR="00F150B2" w:rsidRPr="006E0441" w:rsidRDefault="00F150B2" w:rsidP="004C797B">
            <w:pPr>
              <w:spacing w:after="0"/>
              <w:jc w:val="center"/>
              <w:rPr>
                <w:b/>
                <w:sz w:val="20"/>
              </w:rPr>
            </w:pPr>
            <w:r w:rsidRPr="006E0441">
              <w:rPr>
                <w:b/>
                <w:noProof/>
                <w:sz w:val="20"/>
              </w:rPr>
              <w:t>M</w:t>
            </w:r>
          </w:p>
        </w:tc>
        <w:tc>
          <w:tcPr>
            <w:tcW w:w="0" w:type="auto"/>
            <w:tcBorders>
              <w:left w:val="single" w:sz="4" w:space="0" w:color="auto"/>
              <w:bottom w:val="single" w:sz="4" w:space="0" w:color="auto"/>
              <w:right w:val="single" w:sz="4" w:space="0" w:color="auto"/>
            </w:tcBorders>
            <w:shd w:val="clear" w:color="auto" w:fill="auto"/>
          </w:tcPr>
          <w:p w:rsidR="00F150B2" w:rsidRPr="006E0441" w:rsidRDefault="00F150B2" w:rsidP="004C797B">
            <w:pPr>
              <w:spacing w:after="0"/>
              <w:jc w:val="center"/>
              <w:rPr>
                <w:b/>
                <w:sz w:val="20"/>
              </w:rPr>
            </w:pPr>
            <w:r w:rsidRPr="006E0441">
              <w:rPr>
                <w:b/>
                <w:noProof/>
                <w:sz w:val="20"/>
              </w:rPr>
              <w:t>Ž</w:t>
            </w:r>
          </w:p>
        </w:tc>
        <w:tc>
          <w:tcPr>
            <w:tcW w:w="0" w:type="auto"/>
            <w:tcBorders>
              <w:left w:val="single" w:sz="4" w:space="0" w:color="auto"/>
              <w:bottom w:val="single" w:sz="4" w:space="0" w:color="auto"/>
              <w:right w:val="single" w:sz="4" w:space="0" w:color="auto"/>
            </w:tcBorders>
            <w:shd w:val="clear" w:color="auto" w:fill="auto"/>
          </w:tcPr>
          <w:p w:rsidR="00F150B2" w:rsidRPr="006E0441" w:rsidRDefault="00F150B2" w:rsidP="004C797B">
            <w:pPr>
              <w:spacing w:after="0"/>
              <w:jc w:val="center"/>
              <w:rPr>
                <w:b/>
                <w:sz w:val="20"/>
              </w:rPr>
            </w:pPr>
            <w:r w:rsidRPr="006E0441">
              <w:rPr>
                <w:b/>
                <w:noProof/>
                <w:sz w:val="20"/>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150B2" w:rsidRPr="006E0441" w:rsidRDefault="00F150B2" w:rsidP="004C797B">
            <w:pPr>
              <w:spacing w:after="0"/>
              <w:jc w:val="center"/>
              <w:rPr>
                <w:b/>
                <w:sz w:val="20"/>
              </w:rPr>
            </w:pPr>
            <w:r w:rsidRPr="006E0441">
              <w:rPr>
                <w:b/>
                <w:noProof/>
                <w:sz w:val="20"/>
              </w:rPr>
              <w:t>M</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150B2" w:rsidRPr="006E0441" w:rsidRDefault="00F150B2" w:rsidP="004C797B">
            <w:pPr>
              <w:spacing w:after="0"/>
              <w:jc w:val="center"/>
              <w:rPr>
                <w:b/>
                <w:sz w:val="20"/>
              </w:rPr>
            </w:pPr>
            <w:r w:rsidRPr="006E0441">
              <w:rPr>
                <w:b/>
                <w:noProof/>
                <w:sz w:val="20"/>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150B2" w:rsidRPr="006E0441" w:rsidRDefault="00F150B2" w:rsidP="004C797B">
            <w:pPr>
              <w:spacing w:after="0"/>
              <w:jc w:val="center"/>
              <w:rPr>
                <w:b/>
                <w:sz w:val="20"/>
              </w:rPr>
            </w:pPr>
            <w:r w:rsidRPr="006E0441">
              <w:rPr>
                <w:b/>
                <w:noProof/>
                <w:sz w:val="20"/>
              </w:rPr>
              <w:t>Skupaj</w:t>
            </w:r>
          </w:p>
        </w:tc>
      </w:tr>
      <w:tr w:rsidR="00F150B2" w:rsidRPr="006E0441" w:rsidTr="004C797B">
        <w:trPr>
          <w:trHeight w:val="291"/>
        </w:trPr>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rPr>
                <w:sz w:val="12"/>
                <w:szCs w:val="12"/>
              </w:rPr>
            </w:pPr>
            <w:r w:rsidRPr="006E0441">
              <w:rPr>
                <w:noProof/>
                <w:color w:val="000000"/>
                <w:sz w:val="12"/>
                <w:szCs w:val="12"/>
              </w:rPr>
              <w:t>07 - 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rPr>
                <w:noProof/>
                <w:color w:val="000000"/>
                <w:sz w:val="12"/>
                <w:szCs w:val="12"/>
              </w:rPr>
            </w:pPr>
            <w:r w:rsidRPr="006E0441">
              <w:rPr>
                <w:noProof/>
                <w:color w:val="000000"/>
                <w:sz w:val="12"/>
                <w:szCs w:val="12"/>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pacing w:after="0"/>
              <w:rPr>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F150B2" w:rsidRPr="006E0441" w:rsidRDefault="00F150B2" w:rsidP="004C797B">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F150B2" w:rsidRPr="006E0441" w:rsidRDefault="00F150B2" w:rsidP="004C797B">
            <w:pPr>
              <w:spacing w:after="0"/>
              <w:jc w:val="right"/>
              <w:rPr>
                <w:sz w:val="12"/>
                <w:szCs w:val="12"/>
              </w:rPr>
            </w:pPr>
            <w:r w:rsidRPr="006E0441">
              <w:rPr>
                <w:noProof/>
                <w:sz w:val="12"/>
                <w:szCs w:val="12"/>
              </w:rPr>
              <w:t>69.000.000</w:t>
            </w: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jc w:val="right"/>
              <w:rPr>
                <w:noProof/>
                <w:color w:val="000000"/>
                <w:sz w:val="12"/>
                <w:szCs w:val="12"/>
              </w:rPr>
            </w:pPr>
            <w:r w:rsidRPr="006E0441">
              <w:rPr>
                <w:noProof/>
                <w:color w:val="000000"/>
                <w:sz w:val="12"/>
                <w:szCs w:val="12"/>
              </w:rPr>
              <w:t>262.461.506,00</w:t>
            </w:r>
          </w:p>
        </w:tc>
      </w:tr>
    </w:tbl>
    <w:p w:rsidR="00F150B2" w:rsidRPr="006E0441" w:rsidRDefault="00F150B2" w:rsidP="00F150B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1626"/>
        <w:gridCol w:w="821"/>
        <w:gridCol w:w="774"/>
        <w:gridCol w:w="1346"/>
        <w:gridCol w:w="401"/>
        <w:gridCol w:w="330"/>
        <w:gridCol w:w="744"/>
        <w:gridCol w:w="915"/>
        <w:gridCol w:w="1055"/>
      </w:tblGrid>
      <w:tr w:rsidR="00CA4F1C" w:rsidRPr="006E0441" w:rsidTr="00472D69">
        <w:trPr>
          <w:cantSplit/>
          <w:trHeight w:val="288"/>
          <w:tblHeader/>
        </w:trPr>
        <w:tc>
          <w:tcPr>
            <w:tcW w:w="0" w:type="auto"/>
            <w:gridSpan w:val="2"/>
            <w:shd w:val="clear" w:color="auto" w:fill="auto"/>
          </w:tcPr>
          <w:p w:rsidR="00CA4F1C" w:rsidRPr="006E0441" w:rsidRDefault="00CA4F1C" w:rsidP="00472D69">
            <w:pPr>
              <w:spacing w:after="0" w:line="240" w:lineRule="auto"/>
              <w:rPr>
                <w:rFonts w:cs="Arial"/>
                <w:b/>
                <w:sz w:val="16"/>
                <w:szCs w:val="16"/>
              </w:rPr>
            </w:pPr>
            <w:bookmarkStart w:id="14" w:name="_Toc256000267"/>
            <w:r w:rsidRPr="006E0441">
              <w:rPr>
                <w:rFonts w:cs="Arial"/>
                <w:b/>
                <w:sz w:val="16"/>
                <w:szCs w:val="16"/>
              </w:rPr>
              <w:t>Prednostna naložba</w:t>
            </w:r>
            <w:bookmarkEnd w:id="14"/>
          </w:p>
        </w:tc>
        <w:tc>
          <w:tcPr>
            <w:tcW w:w="0" w:type="auto"/>
            <w:gridSpan w:val="8"/>
            <w:shd w:val="clear" w:color="auto" w:fill="auto"/>
          </w:tcPr>
          <w:p w:rsidR="00CA4F1C" w:rsidRPr="006E0441" w:rsidRDefault="00CA4F1C" w:rsidP="00472D69">
            <w:pPr>
              <w:spacing w:after="0" w:line="240" w:lineRule="auto"/>
              <w:rPr>
                <w:rFonts w:cs="Arial"/>
                <w:b/>
                <w:sz w:val="16"/>
                <w:szCs w:val="16"/>
              </w:rPr>
            </w:pPr>
            <w:bookmarkStart w:id="15" w:name="_Toc256000268"/>
            <w:r w:rsidRPr="006E0441">
              <w:rPr>
                <w:rFonts w:cs="Arial"/>
                <w:b/>
                <w:sz w:val="16"/>
                <w:szCs w:val="16"/>
              </w:rPr>
              <w:t xml:space="preserve">7iii - Razvoj in obnova celostnih, visokokakovostnih in </w:t>
            </w:r>
            <w:proofErr w:type="spellStart"/>
            <w:r w:rsidRPr="006E0441">
              <w:rPr>
                <w:rFonts w:cs="Arial"/>
                <w:b/>
                <w:sz w:val="16"/>
                <w:szCs w:val="16"/>
              </w:rPr>
              <w:t>interoperabilnih</w:t>
            </w:r>
            <w:proofErr w:type="spellEnd"/>
            <w:r w:rsidRPr="006E0441">
              <w:rPr>
                <w:rFonts w:cs="Arial"/>
                <w:b/>
                <w:sz w:val="16"/>
                <w:szCs w:val="16"/>
              </w:rPr>
              <w:t xml:space="preserve"> železniških sistemov ter spodbujanje ukrepov za zmanjševanje hrupa</w:t>
            </w:r>
            <w:bookmarkEnd w:id="15"/>
          </w:p>
        </w:tc>
      </w:tr>
      <w:tr w:rsidR="00EC581A" w:rsidRPr="006E0441" w:rsidTr="00472D69">
        <w:trPr>
          <w:cantSplit/>
          <w:trHeight w:val="288"/>
          <w:tblHeader/>
        </w:trPr>
        <w:tc>
          <w:tcPr>
            <w:tcW w:w="0" w:type="auto"/>
            <w:vMerge w:val="restart"/>
            <w:shd w:val="clear" w:color="auto" w:fill="auto"/>
          </w:tcPr>
          <w:p w:rsidR="00CA4F1C" w:rsidRPr="006E0441" w:rsidRDefault="00CA4F1C" w:rsidP="00472D69">
            <w:pPr>
              <w:spacing w:after="0" w:line="240" w:lineRule="auto"/>
              <w:rPr>
                <w:rFonts w:cs="Arial"/>
                <w:b/>
                <w:sz w:val="16"/>
                <w:szCs w:val="16"/>
              </w:rPr>
            </w:pPr>
            <w:r w:rsidRPr="006E0441">
              <w:rPr>
                <w:rFonts w:cs="Arial"/>
                <w:b/>
                <w:sz w:val="16"/>
                <w:szCs w:val="16"/>
              </w:rPr>
              <w:t>Identifikator</w:t>
            </w:r>
          </w:p>
        </w:tc>
        <w:tc>
          <w:tcPr>
            <w:tcW w:w="0" w:type="auto"/>
            <w:vMerge w:val="restart"/>
            <w:shd w:val="clear" w:color="auto" w:fill="auto"/>
          </w:tcPr>
          <w:p w:rsidR="00CA4F1C" w:rsidRPr="006E0441" w:rsidRDefault="00CA4F1C" w:rsidP="00472D69">
            <w:pPr>
              <w:spacing w:after="0" w:line="240" w:lineRule="auto"/>
              <w:rPr>
                <w:rFonts w:cs="Arial"/>
                <w:b/>
                <w:sz w:val="16"/>
                <w:szCs w:val="16"/>
              </w:rPr>
            </w:pPr>
            <w:r w:rsidRPr="006E0441">
              <w:rPr>
                <w:rFonts w:cs="Arial"/>
                <w:b/>
                <w:sz w:val="16"/>
                <w:szCs w:val="16"/>
              </w:rPr>
              <w:t>Kazalnik</w:t>
            </w:r>
          </w:p>
        </w:tc>
        <w:tc>
          <w:tcPr>
            <w:tcW w:w="0" w:type="auto"/>
            <w:vMerge w:val="restart"/>
            <w:shd w:val="clear" w:color="auto" w:fill="auto"/>
          </w:tcPr>
          <w:p w:rsidR="00CA4F1C" w:rsidRPr="006E0441" w:rsidRDefault="00CA4F1C" w:rsidP="00472D69">
            <w:pPr>
              <w:spacing w:after="0" w:line="240" w:lineRule="auto"/>
              <w:rPr>
                <w:rFonts w:cs="Arial"/>
                <w:b/>
                <w:sz w:val="16"/>
                <w:szCs w:val="16"/>
              </w:rPr>
            </w:pPr>
            <w:r w:rsidRPr="006E0441">
              <w:rPr>
                <w:rFonts w:cs="Arial"/>
                <w:b/>
                <w:sz w:val="16"/>
                <w:szCs w:val="16"/>
              </w:rPr>
              <w:t>Merska enota</w:t>
            </w:r>
          </w:p>
        </w:tc>
        <w:tc>
          <w:tcPr>
            <w:tcW w:w="0" w:type="auto"/>
            <w:vMerge w:val="restart"/>
            <w:shd w:val="clear" w:color="auto" w:fill="auto"/>
          </w:tcPr>
          <w:p w:rsidR="00CA4F1C" w:rsidRPr="006E0441" w:rsidRDefault="00CA4F1C" w:rsidP="00472D69">
            <w:pPr>
              <w:spacing w:after="0" w:line="240" w:lineRule="auto"/>
              <w:rPr>
                <w:rFonts w:cs="Arial"/>
                <w:b/>
                <w:sz w:val="16"/>
                <w:szCs w:val="16"/>
              </w:rPr>
            </w:pPr>
            <w:r w:rsidRPr="006E0441">
              <w:rPr>
                <w:rFonts w:cs="Arial"/>
                <w:b/>
                <w:sz w:val="16"/>
                <w:szCs w:val="16"/>
              </w:rPr>
              <w:t>Sklad</w:t>
            </w:r>
          </w:p>
        </w:tc>
        <w:tc>
          <w:tcPr>
            <w:tcW w:w="0" w:type="auto"/>
            <w:vMerge w:val="restart"/>
            <w:shd w:val="clear" w:color="auto" w:fill="auto"/>
          </w:tcPr>
          <w:p w:rsidR="00CA4F1C" w:rsidRPr="006E0441" w:rsidRDefault="00CA4F1C" w:rsidP="00472D69">
            <w:pPr>
              <w:spacing w:after="0" w:line="240" w:lineRule="auto"/>
              <w:rPr>
                <w:rFonts w:cs="Arial"/>
                <w:b/>
                <w:sz w:val="16"/>
                <w:szCs w:val="16"/>
              </w:rPr>
            </w:pPr>
            <w:r w:rsidRPr="006E0441">
              <w:rPr>
                <w:rFonts w:cs="Arial"/>
                <w:b/>
                <w:sz w:val="16"/>
                <w:szCs w:val="16"/>
              </w:rPr>
              <w:t>Kategorija regije (če je relevantno)</w:t>
            </w:r>
          </w:p>
        </w:tc>
        <w:tc>
          <w:tcPr>
            <w:tcW w:w="0" w:type="auto"/>
            <w:gridSpan w:val="3"/>
            <w:shd w:val="clear" w:color="auto" w:fill="auto"/>
          </w:tcPr>
          <w:p w:rsidR="00CA4F1C" w:rsidRPr="006E0441" w:rsidRDefault="00CA4F1C" w:rsidP="00472D69">
            <w:pPr>
              <w:spacing w:after="0" w:line="240" w:lineRule="auto"/>
              <w:rPr>
                <w:rFonts w:cs="Arial"/>
                <w:b/>
                <w:sz w:val="16"/>
                <w:szCs w:val="16"/>
              </w:rPr>
            </w:pPr>
            <w:r w:rsidRPr="006E0441">
              <w:rPr>
                <w:rFonts w:cs="Arial"/>
                <w:b/>
                <w:sz w:val="16"/>
                <w:szCs w:val="16"/>
              </w:rPr>
              <w:t>Ciljna vrednost (za leto 2023)</w:t>
            </w:r>
          </w:p>
        </w:tc>
        <w:tc>
          <w:tcPr>
            <w:tcW w:w="0" w:type="auto"/>
            <w:vMerge w:val="restart"/>
            <w:shd w:val="clear" w:color="auto" w:fill="auto"/>
          </w:tcPr>
          <w:p w:rsidR="00CA4F1C" w:rsidRPr="006E0441" w:rsidRDefault="00CA4F1C" w:rsidP="00472D69">
            <w:pPr>
              <w:spacing w:after="0" w:line="240" w:lineRule="auto"/>
              <w:rPr>
                <w:rFonts w:cs="Arial"/>
                <w:b/>
                <w:sz w:val="16"/>
                <w:szCs w:val="16"/>
              </w:rPr>
            </w:pPr>
            <w:r w:rsidRPr="006E0441">
              <w:rPr>
                <w:rFonts w:cs="Arial"/>
                <w:b/>
                <w:sz w:val="16"/>
                <w:szCs w:val="16"/>
              </w:rPr>
              <w:t>Vir podatkov</w:t>
            </w:r>
          </w:p>
        </w:tc>
        <w:tc>
          <w:tcPr>
            <w:tcW w:w="0" w:type="auto"/>
            <w:vMerge w:val="restart"/>
            <w:shd w:val="clear" w:color="auto" w:fill="auto"/>
          </w:tcPr>
          <w:p w:rsidR="00CA4F1C" w:rsidRPr="006E0441" w:rsidRDefault="00CA4F1C" w:rsidP="00472D69">
            <w:pPr>
              <w:spacing w:after="0" w:line="240" w:lineRule="auto"/>
              <w:rPr>
                <w:rFonts w:cs="Arial"/>
                <w:b/>
                <w:sz w:val="16"/>
                <w:szCs w:val="16"/>
              </w:rPr>
            </w:pPr>
            <w:r w:rsidRPr="006E0441">
              <w:rPr>
                <w:rFonts w:cs="Arial"/>
                <w:b/>
                <w:sz w:val="16"/>
                <w:szCs w:val="16"/>
              </w:rPr>
              <w:t>Pogostost poročanja</w:t>
            </w:r>
          </w:p>
        </w:tc>
      </w:tr>
      <w:tr w:rsidR="00CA4F1C" w:rsidRPr="006E0441" w:rsidTr="00472D69">
        <w:trPr>
          <w:cantSplit/>
          <w:trHeight w:val="288"/>
          <w:tblHeader/>
        </w:trPr>
        <w:tc>
          <w:tcPr>
            <w:tcW w:w="0" w:type="auto"/>
            <w:vMerge/>
            <w:shd w:val="clear" w:color="auto" w:fill="auto"/>
          </w:tcPr>
          <w:p w:rsidR="00CA4F1C" w:rsidRPr="006E0441" w:rsidRDefault="00CA4F1C" w:rsidP="00472D69">
            <w:pPr>
              <w:spacing w:line="240" w:lineRule="auto"/>
              <w:rPr>
                <w:rFonts w:cs="Arial"/>
                <w:b/>
                <w:sz w:val="16"/>
                <w:szCs w:val="16"/>
              </w:rPr>
            </w:pPr>
          </w:p>
        </w:tc>
        <w:tc>
          <w:tcPr>
            <w:tcW w:w="0" w:type="auto"/>
            <w:vMerge/>
            <w:shd w:val="clear" w:color="auto" w:fill="auto"/>
          </w:tcPr>
          <w:p w:rsidR="00CA4F1C" w:rsidRPr="006E0441" w:rsidRDefault="00CA4F1C" w:rsidP="00472D69">
            <w:pPr>
              <w:spacing w:line="240" w:lineRule="auto"/>
              <w:rPr>
                <w:rFonts w:cs="Arial"/>
                <w:b/>
                <w:sz w:val="16"/>
                <w:szCs w:val="16"/>
              </w:rPr>
            </w:pPr>
          </w:p>
        </w:tc>
        <w:tc>
          <w:tcPr>
            <w:tcW w:w="0" w:type="auto"/>
            <w:vMerge/>
            <w:shd w:val="clear" w:color="auto" w:fill="auto"/>
          </w:tcPr>
          <w:p w:rsidR="00CA4F1C" w:rsidRPr="006E0441" w:rsidRDefault="00CA4F1C" w:rsidP="00472D69">
            <w:pPr>
              <w:spacing w:line="240" w:lineRule="auto"/>
              <w:rPr>
                <w:rFonts w:cs="Arial"/>
                <w:b/>
                <w:sz w:val="16"/>
                <w:szCs w:val="16"/>
              </w:rPr>
            </w:pPr>
          </w:p>
        </w:tc>
        <w:tc>
          <w:tcPr>
            <w:tcW w:w="0" w:type="auto"/>
            <w:vMerge/>
            <w:shd w:val="clear" w:color="auto" w:fill="auto"/>
          </w:tcPr>
          <w:p w:rsidR="00CA4F1C" w:rsidRPr="006E0441" w:rsidRDefault="00CA4F1C" w:rsidP="00472D69">
            <w:pPr>
              <w:spacing w:line="240" w:lineRule="auto"/>
              <w:rPr>
                <w:rFonts w:cs="Arial"/>
                <w:b/>
                <w:sz w:val="16"/>
                <w:szCs w:val="16"/>
              </w:rPr>
            </w:pPr>
          </w:p>
        </w:tc>
        <w:tc>
          <w:tcPr>
            <w:tcW w:w="0" w:type="auto"/>
            <w:vMerge/>
            <w:shd w:val="clear" w:color="auto" w:fill="auto"/>
          </w:tcPr>
          <w:p w:rsidR="00CA4F1C" w:rsidRPr="006E0441" w:rsidRDefault="00CA4F1C" w:rsidP="00472D69">
            <w:pPr>
              <w:spacing w:line="240" w:lineRule="auto"/>
              <w:rPr>
                <w:rFonts w:cs="Arial"/>
                <w:b/>
                <w:sz w:val="16"/>
                <w:szCs w:val="16"/>
              </w:rPr>
            </w:pPr>
          </w:p>
        </w:tc>
        <w:tc>
          <w:tcPr>
            <w:tcW w:w="0" w:type="auto"/>
            <w:shd w:val="clear" w:color="auto" w:fill="auto"/>
          </w:tcPr>
          <w:p w:rsidR="00CA4F1C" w:rsidRPr="006E0441" w:rsidRDefault="00CA4F1C" w:rsidP="00472D69">
            <w:pPr>
              <w:spacing w:line="240" w:lineRule="auto"/>
              <w:rPr>
                <w:rFonts w:cs="Arial"/>
                <w:b/>
                <w:sz w:val="16"/>
                <w:szCs w:val="16"/>
              </w:rPr>
            </w:pPr>
            <w:r w:rsidRPr="006E0441">
              <w:rPr>
                <w:rFonts w:cs="Arial"/>
                <w:b/>
                <w:sz w:val="16"/>
                <w:szCs w:val="16"/>
              </w:rPr>
              <w:t>M</w:t>
            </w:r>
          </w:p>
        </w:tc>
        <w:tc>
          <w:tcPr>
            <w:tcW w:w="0" w:type="auto"/>
            <w:shd w:val="clear" w:color="auto" w:fill="auto"/>
          </w:tcPr>
          <w:p w:rsidR="00CA4F1C" w:rsidRPr="006E0441" w:rsidRDefault="00CA4F1C" w:rsidP="00472D69">
            <w:pPr>
              <w:spacing w:line="240" w:lineRule="auto"/>
              <w:rPr>
                <w:rFonts w:cs="Arial"/>
                <w:b/>
                <w:sz w:val="16"/>
                <w:szCs w:val="16"/>
              </w:rPr>
            </w:pPr>
            <w:r w:rsidRPr="006E0441">
              <w:rPr>
                <w:rFonts w:cs="Arial"/>
                <w:b/>
                <w:sz w:val="16"/>
                <w:szCs w:val="16"/>
              </w:rPr>
              <w:t>Ž</w:t>
            </w:r>
          </w:p>
        </w:tc>
        <w:tc>
          <w:tcPr>
            <w:tcW w:w="0" w:type="auto"/>
            <w:shd w:val="clear" w:color="auto" w:fill="auto"/>
          </w:tcPr>
          <w:p w:rsidR="00CA4F1C" w:rsidRPr="006E0441" w:rsidRDefault="00CA4F1C" w:rsidP="00472D69">
            <w:pPr>
              <w:spacing w:line="240" w:lineRule="auto"/>
              <w:rPr>
                <w:rFonts w:cs="Arial"/>
                <w:b/>
                <w:sz w:val="16"/>
                <w:szCs w:val="16"/>
              </w:rPr>
            </w:pPr>
            <w:r w:rsidRPr="006E0441">
              <w:rPr>
                <w:rFonts w:cs="Arial"/>
                <w:b/>
                <w:sz w:val="16"/>
                <w:szCs w:val="16"/>
              </w:rPr>
              <w:t>Skupaj</w:t>
            </w:r>
          </w:p>
        </w:tc>
        <w:tc>
          <w:tcPr>
            <w:tcW w:w="0" w:type="auto"/>
            <w:vMerge/>
            <w:shd w:val="clear" w:color="auto" w:fill="auto"/>
          </w:tcPr>
          <w:p w:rsidR="00CA4F1C" w:rsidRPr="006E0441" w:rsidRDefault="00CA4F1C" w:rsidP="00472D69">
            <w:pPr>
              <w:spacing w:line="240" w:lineRule="auto"/>
              <w:rPr>
                <w:rFonts w:cs="Arial"/>
                <w:sz w:val="16"/>
                <w:szCs w:val="16"/>
              </w:rPr>
            </w:pPr>
          </w:p>
        </w:tc>
        <w:tc>
          <w:tcPr>
            <w:tcW w:w="0" w:type="auto"/>
            <w:vMerge/>
            <w:shd w:val="clear" w:color="auto" w:fill="auto"/>
          </w:tcPr>
          <w:p w:rsidR="00CA4F1C" w:rsidRPr="006E0441" w:rsidRDefault="00CA4F1C" w:rsidP="00472D69">
            <w:pPr>
              <w:spacing w:line="240" w:lineRule="auto"/>
              <w:rPr>
                <w:rFonts w:cs="Arial"/>
                <w:sz w:val="16"/>
                <w:szCs w:val="16"/>
              </w:rPr>
            </w:pPr>
          </w:p>
        </w:tc>
      </w:tr>
      <w:tr w:rsidR="00CA4F1C" w:rsidRPr="006E0441" w:rsidTr="00472D69">
        <w:trPr>
          <w:trHeight w:val="288"/>
        </w:trPr>
        <w:tc>
          <w:tcPr>
            <w:tcW w:w="0" w:type="auto"/>
            <w:shd w:val="clear" w:color="auto" w:fill="auto"/>
          </w:tcPr>
          <w:p w:rsidR="00CA4F1C" w:rsidRPr="006E0441" w:rsidRDefault="00CA4F1C" w:rsidP="00472D69">
            <w:pPr>
              <w:spacing w:after="0" w:line="240" w:lineRule="auto"/>
              <w:rPr>
                <w:rFonts w:cs="Arial"/>
                <w:sz w:val="12"/>
                <w:szCs w:val="12"/>
              </w:rPr>
            </w:pPr>
            <w:r w:rsidRPr="006E0441">
              <w:rPr>
                <w:rFonts w:cs="Arial"/>
                <w:sz w:val="12"/>
                <w:szCs w:val="12"/>
              </w:rPr>
              <w:t>7.8</w:t>
            </w:r>
          </w:p>
        </w:tc>
        <w:tc>
          <w:tcPr>
            <w:tcW w:w="0" w:type="auto"/>
            <w:shd w:val="clear" w:color="auto" w:fill="auto"/>
          </w:tcPr>
          <w:p w:rsidR="00CA4F1C" w:rsidRPr="006E0441" w:rsidRDefault="00CA4F1C" w:rsidP="00472D69">
            <w:pPr>
              <w:spacing w:after="0" w:line="240" w:lineRule="auto"/>
              <w:rPr>
                <w:rFonts w:cs="Arial"/>
                <w:sz w:val="12"/>
                <w:szCs w:val="12"/>
              </w:rPr>
            </w:pPr>
            <w:r w:rsidRPr="006E0441">
              <w:rPr>
                <w:rFonts w:cs="Arial"/>
                <w:sz w:val="12"/>
                <w:szCs w:val="12"/>
              </w:rPr>
              <w:t>Skupna dolžina novozgrajenih viaduktov in predorov brez opreme</w:t>
            </w:r>
          </w:p>
        </w:tc>
        <w:tc>
          <w:tcPr>
            <w:tcW w:w="0" w:type="auto"/>
            <w:shd w:val="clear" w:color="auto" w:fill="auto"/>
          </w:tcPr>
          <w:p w:rsidR="00CA4F1C" w:rsidRPr="006E0441" w:rsidRDefault="00CA4F1C" w:rsidP="00472D69">
            <w:pPr>
              <w:spacing w:after="0" w:line="240" w:lineRule="auto"/>
              <w:rPr>
                <w:rFonts w:cs="Arial"/>
                <w:sz w:val="12"/>
                <w:szCs w:val="12"/>
              </w:rPr>
            </w:pPr>
            <w:r w:rsidRPr="006E0441">
              <w:rPr>
                <w:rFonts w:cs="Arial"/>
                <w:sz w:val="12"/>
                <w:szCs w:val="12"/>
              </w:rPr>
              <w:t>km</w:t>
            </w:r>
          </w:p>
        </w:tc>
        <w:tc>
          <w:tcPr>
            <w:tcW w:w="0" w:type="auto"/>
            <w:shd w:val="clear" w:color="auto" w:fill="auto"/>
          </w:tcPr>
          <w:p w:rsidR="00CA4F1C" w:rsidRPr="006E0441" w:rsidRDefault="00CA4F1C" w:rsidP="00472D69">
            <w:pPr>
              <w:pStyle w:val="Text1"/>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Kohezijski sklad</w:t>
            </w:r>
          </w:p>
        </w:tc>
        <w:tc>
          <w:tcPr>
            <w:tcW w:w="0" w:type="auto"/>
            <w:shd w:val="clear" w:color="auto" w:fill="auto"/>
          </w:tcPr>
          <w:p w:rsidR="00CA4F1C" w:rsidRPr="006E0441" w:rsidRDefault="00CA4F1C" w:rsidP="00472D69">
            <w:pPr>
              <w:spacing w:after="0" w:line="240" w:lineRule="auto"/>
              <w:rPr>
                <w:rFonts w:cs="Arial"/>
                <w:sz w:val="12"/>
                <w:szCs w:val="12"/>
              </w:rPr>
            </w:pPr>
            <w:r w:rsidRPr="006E0441">
              <w:rPr>
                <w:rFonts w:cs="Arial"/>
                <w:sz w:val="12"/>
                <w:szCs w:val="12"/>
              </w:rPr>
              <w:t xml:space="preserve"> </w:t>
            </w:r>
          </w:p>
        </w:tc>
        <w:tc>
          <w:tcPr>
            <w:tcW w:w="0" w:type="auto"/>
            <w:shd w:val="clear" w:color="auto" w:fill="auto"/>
          </w:tcPr>
          <w:p w:rsidR="00CA4F1C" w:rsidRPr="006E0441" w:rsidRDefault="00CA4F1C" w:rsidP="00472D69">
            <w:pPr>
              <w:spacing w:after="0" w:line="240" w:lineRule="auto"/>
              <w:jc w:val="right"/>
              <w:rPr>
                <w:rFonts w:cs="Arial"/>
                <w:sz w:val="12"/>
                <w:szCs w:val="12"/>
              </w:rPr>
            </w:pPr>
          </w:p>
        </w:tc>
        <w:tc>
          <w:tcPr>
            <w:tcW w:w="0" w:type="auto"/>
            <w:shd w:val="clear" w:color="auto" w:fill="auto"/>
          </w:tcPr>
          <w:p w:rsidR="00CA4F1C" w:rsidRPr="006E0441" w:rsidRDefault="00CA4F1C" w:rsidP="00472D69">
            <w:pPr>
              <w:spacing w:after="0" w:line="240" w:lineRule="auto"/>
              <w:jc w:val="right"/>
              <w:rPr>
                <w:rFonts w:cs="Arial"/>
                <w:sz w:val="12"/>
                <w:szCs w:val="12"/>
              </w:rPr>
            </w:pPr>
          </w:p>
        </w:tc>
        <w:tc>
          <w:tcPr>
            <w:tcW w:w="0" w:type="auto"/>
            <w:shd w:val="clear" w:color="auto" w:fill="auto"/>
          </w:tcPr>
          <w:p w:rsidR="00CA4F1C" w:rsidRPr="006E0441" w:rsidRDefault="00CA4F1C" w:rsidP="00472D69">
            <w:pPr>
              <w:spacing w:after="0" w:line="240" w:lineRule="auto"/>
              <w:jc w:val="right"/>
              <w:rPr>
                <w:rFonts w:cs="Arial"/>
                <w:sz w:val="12"/>
                <w:szCs w:val="12"/>
              </w:rPr>
            </w:pPr>
            <w:r w:rsidRPr="006E0441">
              <w:rPr>
                <w:rFonts w:cs="Arial"/>
                <w:sz w:val="12"/>
                <w:szCs w:val="12"/>
              </w:rPr>
              <w:t>3,20</w:t>
            </w:r>
          </w:p>
        </w:tc>
        <w:tc>
          <w:tcPr>
            <w:tcW w:w="0" w:type="auto"/>
            <w:shd w:val="clear" w:color="auto" w:fill="auto"/>
          </w:tcPr>
          <w:p w:rsidR="00CA4F1C" w:rsidRPr="006E0441" w:rsidRDefault="00CA4F1C" w:rsidP="00472D69">
            <w:pPr>
              <w:spacing w:after="0" w:line="240" w:lineRule="auto"/>
              <w:rPr>
                <w:rFonts w:cs="Arial"/>
                <w:sz w:val="12"/>
                <w:szCs w:val="12"/>
              </w:rPr>
            </w:pPr>
            <w:r w:rsidRPr="006E0441">
              <w:rPr>
                <w:rFonts w:cs="Arial"/>
                <w:sz w:val="12"/>
                <w:szCs w:val="12"/>
              </w:rPr>
              <w:t>MZI</w:t>
            </w:r>
          </w:p>
        </w:tc>
        <w:tc>
          <w:tcPr>
            <w:tcW w:w="0" w:type="auto"/>
            <w:shd w:val="clear" w:color="auto" w:fill="auto"/>
          </w:tcPr>
          <w:p w:rsidR="00CA4F1C" w:rsidRPr="006E0441" w:rsidRDefault="00CA4F1C" w:rsidP="00472D69">
            <w:pPr>
              <w:pStyle w:val="Text2"/>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letno</w:t>
            </w:r>
          </w:p>
        </w:tc>
      </w:tr>
      <w:tr w:rsidR="00542769" w:rsidRPr="006E0441" w:rsidTr="00472D69">
        <w:trPr>
          <w:trHeight w:val="288"/>
        </w:trPr>
        <w:tc>
          <w:tcPr>
            <w:tcW w:w="0" w:type="auto"/>
            <w:shd w:val="clear" w:color="auto" w:fill="auto"/>
          </w:tcPr>
          <w:p w:rsidR="00542769" w:rsidRPr="006E0441" w:rsidRDefault="00542769" w:rsidP="00542769">
            <w:pPr>
              <w:spacing w:after="0" w:line="240" w:lineRule="auto"/>
              <w:rPr>
                <w:rFonts w:cs="Arial"/>
                <w:sz w:val="12"/>
                <w:szCs w:val="12"/>
              </w:rPr>
            </w:pPr>
            <w:r w:rsidRPr="006E0441">
              <w:rPr>
                <w:rFonts w:cs="Arial"/>
                <w:sz w:val="12"/>
                <w:szCs w:val="12"/>
              </w:rPr>
              <w:t>CO12a</w:t>
            </w:r>
          </w:p>
        </w:tc>
        <w:tc>
          <w:tcPr>
            <w:tcW w:w="0" w:type="auto"/>
            <w:shd w:val="clear" w:color="auto" w:fill="auto"/>
          </w:tcPr>
          <w:p w:rsidR="00542769" w:rsidRPr="006E0441" w:rsidRDefault="00542769" w:rsidP="00542769">
            <w:pPr>
              <w:spacing w:after="0" w:line="240" w:lineRule="auto"/>
              <w:rPr>
                <w:rFonts w:cs="Arial"/>
                <w:sz w:val="12"/>
                <w:szCs w:val="12"/>
              </w:rPr>
            </w:pPr>
            <w:r w:rsidRPr="006E0441">
              <w:rPr>
                <w:rFonts w:cs="Arial"/>
                <w:sz w:val="12"/>
                <w:szCs w:val="12"/>
              </w:rPr>
              <w:t>Železniški: skupna dolžina obnovljenih ali posodobljenih železniških prog, od tega: TEN-T</w:t>
            </w:r>
          </w:p>
        </w:tc>
        <w:tc>
          <w:tcPr>
            <w:tcW w:w="0" w:type="auto"/>
            <w:shd w:val="clear" w:color="auto" w:fill="auto"/>
          </w:tcPr>
          <w:p w:rsidR="00542769" w:rsidRPr="006E0441" w:rsidRDefault="00542769" w:rsidP="00542769">
            <w:pPr>
              <w:spacing w:after="0" w:line="240" w:lineRule="auto"/>
              <w:rPr>
                <w:rFonts w:cs="Arial"/>
                <w:sz w:val="12"/>
                <w:szCs w:val="12"/>
              </w:rPr>
            </w:pPr>
            <w:r w:rsidRPr="006E0441">
              <w:rPr>
                <w:rFonts w:cs="Arial"/>
                <w:sz w:val="12"/>
                <w:szCs w:val="12"/>
              </w:rPr>
              <w:t>km</w:t>
            </w:r>
          </w:p>
        </w:tc>
        <w:tc>
          <w:tcPr>
            <w:tcW w:w="0" w:type="auto"/>
            <w:shd w:val="clear" w:color="auto" w:fill="auto"/>
          </w:tcPr>
          <w:p w:rsidR="00542769" w:rsidRPr="006E0441" w:rsidRDefault="00542769" w:rsidP="00542769">
            <w:pPr>
              <w:pStyle w:val="Text1"/>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Kohezijski sklad</w:t>
            </w:r>
          </w:p>
        </w:tc>
        <w:tc>
          <w:tcPr>
            <w:tcW w:w="0" w:type="auto"/>
            <w:shd w:val="clear" w:color="auto" w:fill="auto"/>
          </w:tcPr>
          <w:p w:rsidR="00542769" w:rsidRPr="006E0441" w:rsidRDefault="00542769" w:rsidP="00542769">
            <w:pPr>
              <w:spacing w:after="0" w:line="240" w:lineRule="auto"/>
              <w:rPr>
                <w:rFonts w:cs="Arial"/>
                <w:sz w:val="12"/>
                <w:szCs w:val="12"/>
              </w:rPr>
            </w:pPr>
          </w:p>
        </w:tc>
        <w:tc>
          <w:tcPr>
            <w:tcW w:w="0" w:type="auto"/>
            <w:shd w:val="clear" w:color="auto" w:fill="auto"/>
          </w:tcPr>
          <w:p w:rsidR="00542769" w:rsidRPr="006E0441" w:rsidRDefault="00542769" w:rsidP="00542769">
            <w:pPr>
              <w:spacing w:after="0" w:line="240" w:lineRule="auto"/>
              <w:jc w:val="right"/>
              <w:rPr>
                <w:rFonts w:cs="Arial"/>
                <w:sz w:val="12"/>
                <w:szCs w:val="12"/>
              </w:rPr>
            </w:pPr>
          </w:p>
        </w:tc>
        <w:tc>
          <w:tcPr>
            <w:tcW w:w="0" w:type="auto"/>
            <w:shd w:val="clear" w:color="auto" w:fill="auto"/>
          </w:tcPr>
          <w:p w:rsidR="00542769" w:rsidRPr="006E0441" w:rsidRDefault="00542769" w:rsidP="00542769">
            <w:pPr>
              <w:spacing w:after="0" w:line="240" w:lineRule="auto"/>
              <w:jc w:val="right"/>
              <w:rPr>
                <w:rFonts w:cs="Arial"/>
                <w:sz w:val="12"/>
                <w:szCs w:val="12"/>
              </w:rPr>
            </w:pPr>
          </w:p>
        </w:tc>
        <w:tc>
          <w:tcPr>
            <w:tcW w:w="0" w:type="auto"/>
            <w:shd w:val="clear" w:color="auto" w:fill="auto"/>
          </w:tcPr>
          <w:p w:rsidR="00542769" w:rsidRPr="006E0441" w:rsidRDefault="00542769" w:rsidP="00542769">
            <w:pPr>
              <w:spacing w:after="0" w:line="240" w:lineRule="auto"/>
              <w:jc w:val="right"/>
              <w:rPr>
                <w:rFonts w:cs="Arial"/>
                <w:sz w:val="12"/>
                <w:szCs w:val="12"/>
              </w:rPr>
            </w:pPr>
            <w:r w:rsidRPr="006E0441">
              <w:rPr>
                <w:rFonts w:cs="Arial"/>
                <w:sz w:val="12"/>
                <w:szCs w:val="12"/>
              </w:rPr>
              <w:t>17,00</w:t>
            </w:r>
          </w:p>
        </w:tc>
        <w:tc>
          <w:tcPr>
            <w:tcW w:w="0" w:type="auto"/>
            <w:shd w:val="clear" w:color="auto" w:fill="auto"/>
          </w:tcPr>
          <w:p w:rsidR="00542769" w:rsidRPr="006E0441" w:rsidRDefault="00542769" w:rsidP="00542769">
            <w:pPr>
              <w:spacing w:after="0" w:line="240" w:lineRule="auto"/>
              <w:rPr>
                <w:rFonts w:cs="Arial"/>
                <w:sz w:val="12"/>
                <w:szCs w:val="12"/>
              </w:rPr>
            </w:pPr>
            <w:r w:rsidRPr="006E0441">
              <w:rPr>
                <w:rFonts w:cs="Arial"/>
                <w:sz w:val="12"/>
                <w:szCs w:val="12"/>
              </w:rPr>
              <w:t>MZI</w:t>
            </w:r>
          </w:p>
        </w:tc>
        <w:tc>
          <w:tcPr>
            <w:tcW w:w="0" w:type="auto"/>
            <w:shd w:val="clear" w:color="auto" w:fill="auto"/>
          </w:tcPr>
          <w:p w:rsidR="00542769" w:rsidRPr="006E0441" w:rsidRDefault="00542769" w:rsidP="00542769">
            <w:pPr>
              <w:pStyle w:val="Text2"/>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letno</w:t>
            </w:r>
          </w:p>
        </w:tc>
      </w:tr>
    </w:tbl>
    <w:p w:rsidR="00CA4F1C" w:rsidRPr="006E0441" w:rsidRDefault="00CA4F1C" w:rsidP="00F150B2"/>
    <w:p w:rsidR="00F150B2" w:rsidRPr="006E0441" w:rsidRDefault="00F150B2" w:rsidP="00F150B2">
      <w:pPr>
        <w:rPr>
          <w:b/>
          <w:noProof/>
        </w:rPr>
      </w:pPr>
      <w:r w:rsidRPr="006E0441">
        <w:rPr>
          <w:b/>
          <w:noProof/>
        </w:rPr>
        <w:t>Predlog OP 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596"/>
        <w:gridCol w:w="757"/>
        <w:gridCol w:w="967"/>
        <w:gridCol w:w="1291"/>
        <w:gridCol w:w="1080"/>
        <w:gridCol w:w="393"/>
        <w:gridCol w:w="314"/>
        <w:gridCol w:w="776"/>
        <w:gridCol w:w="440"/>
        <w:gridCol w:w="351"/>
        <w:gridCol w:w="1097"/>
      </w:tblGrid>
      <w:tr w:rsidR="00F150B2" w:rsidRPr="006E0441" w:rsidTr="004C797B">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B2" w:rsidRPr="006E0441" w:rsidRDefault="00F150B2" w:rsidP="004C797B">
            <w:pPr>
              <w:spacing w:after="0"/>
              <w:jc w:val="center"/>
              <w:rPr>
                <w:b/>
                <w:sz w:val="16"/>
                <w:szCs w:val="16"/>
              </w:rPr>
            </w:pPr>
            <w:r w:rsidRPr="006E0441">
              <w:rPr>
                <w:b/>
                <w:noProof/>
                <w:sz w:val="16"/>
                <w:szCs w:val="16"/>
              </w:rPr>
              <w:t>Prednostna os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B2" w:rsidRPr="006E0441" w:rsidRDefault="00F150B2" w:rsidP="004C797B">
            <w:pPr>
              <w:spacing w:after="0"/>
              <w:jc w:val="center"/>
              <w:rPr>
                <w:b/>
                <w:color w:val="FF0000"/>
                <w:sz w:val="16"/>
                <w:szCs w:val="16"/>
              </w:rPr>
            </w:pPr>
            <w:r w:rsidRPr="006E0441">
              <w:rPr>
                <w:b/>
                <w:noProof/>
                <w:sz w:val="16"/>
                <w:szCs w:val="16"/>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B2" w:rsidRPr="006E0441" w:rsidRDefault="00F150B2" w:rsidP="004C797B">
            <w:pPr>
              <w:spacing w:after="0"/>
              <w:jc w:val="center"/>
              <w:rPr>
                <w:b/>
                <w:color w:val="FF0000"/>
                <w:sz w:val="16"/>
                <w:szCs w:val="16"/>
              </w:rPr>
            </w:pPr>
            <w:r w:rsidRPr="006E0441">
              <w:rPr>
                <w:b/>
                <w:noProof/>
                <w:sz w:val="16"/>
                <w:szCs w:val="16"/>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B2" w:rsidRPr="006E0441" w:rsidRDefault="00F150B2" w:rsidP="004C797B">
            <w:pPr>
              <w:spacing w:after="0"/>
              <w:jc w:val="center"/>
              <w:rPr>
                <w:b/>
                <w:color w:val="FF0000"/>
                <w:sz w:val="16"/>
                <w:szCs w:val="16"/>
              </w:rPr>
            </w:pPr>
            <w:r w:rsidRPr="006E0441">
              <w:rPr>
                <w:b/>
                <w:noProof/>
                <w:sz w:val="16"/>
                <w:szCs w:val="16"/>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B2" w:rsidRPr="006E0441" w:rsidRDefault="00F150B2" w:rsidP="004C797B">
            <w:pPr>
              <w:spacing w:after="0"/>
              <w:jc w:val="center"/>
              <w:rPr>
                <w:b/>
                <w:color w:val="FF0000"/>
                <w:sz w:val="16"/>
                <w:szCs w:val="16"/>
              </w:rPr>
            </w:pPr>
            <w:r w:rsidRPr="006E0441">
              <w:rPr>
                <w:b/>
                <w:noProof/>
                <w:sz w:val="16"/>
                <w:szCs w:val="16"/>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F150B2" w:rsidRPr="006E0441" w:rsidRDefault="00F150B2" w:rsidP="004C797B">
            <w:pPr>
              <w:spacing w:after="0"/>
              <w:jc w:val="center"/>
              <w:rPr>
                <w:b/>
                <w:color w:val="FF0000"/>
                <w:sz w:val="16"/>
                <w:szCs w:val="16"/>
              </w:rPr>
            </w:pPr>
            <w:r w:rsidRPr="006E0441">
              <w:rPr>
                <w:b/>
                <w:noProof/>
                <w:sz w:val="16"/>
                <w:szCs w:val="16"/>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F150B2" w:rsidRPr="006E0441" w:rsidRDefault="00F150B2" w:rsidP="004C797B">
            <w:pPr>
              <w:spacing w:after="0"/>
              <w:jc w:val="center"/>
              <w:rPr>
                <w:b/>
                <w:color w:val="FF0000"/>
                <w:sz w:val="16"/>
                <w:szCs w:val="16"/>
              </w:rPr>
            </w:pPr>
            <w:r w:rsidRPr="006E0441">
              <w:rPr>
                <w:b/>
                <w:noProof/>
                <w:sz w:val="16"/>
                <w:szCs w:val="16"/>
              </w:rPr>
              <w:t>Končna ciljna vrednost (za leto 2023)</w:t>
            </w:r>
          </w:p>
        </w:tc>
      </w:tr>
      <w:tr w:rsidR="00F150B2" w:rsidRPr="006E0441" w:rsidTr="004C797B">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0B2" w:rsidRPr="006E0441" w:rsidRDefault="00F150B2" w:rsidP="004C797B">
            <w:pPr>
              <w:spacing w:after="0"/>
              <w:rPr>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0B2" w:rsidRPr="006E0441" w:rsidRDefault="00F150B2" w:rsidP="004C797B">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0B2" w:rsidRPr="006E0441" w:rsidRDefault="00F150B2" w:rsidP="004C797B">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0B2" w:rsidRPr="006E0441" w:rsidRDefault="00F150B2" w:rsidP="004C797B">
            <w:pPr>
              <w:spacing w:after="0"/>
              <w:rPr>
                <w:b/>
                <w:color w:val="FF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0B2" w:rsidRPr="006E0441" w:rsidRDefault="00F150B2" w:rsidP="004C797B">
            <w:pPr>
              <w:spacing w:after="0"/>
              <w:rPr>
                <w:b/>
                <w:color w:val="FF0000"/>
                <w:sz w:val="20"/>
              </w:rPr>
            </w:pPr>
          </w:p>
        </w:tc>
        <w:tc>
          <w:tcPr>
            <w:tcW w:w="0" w:type="auto"/>
            <w:tcBorders>
              <w:left w:val="single" w:sz="4" w:space="0" w:color="auto"/>
              <w:bottom w:val="single" w:sz="4" w:space="0" w:color="auto"/>
              <w:right w:val="single" w:sz="4" w:space="0" w:color="auto"/>
            </w:tcBorders>
            <w:shd w:val="clear" w:color="auto" w:fill="auto"/>
            <w:hideMark/>
          </w:tcPr>
          <w:p w:rsidR="00F150B2" w:rsidRPr="006E0441" w:rsidRDefault="00F150B2" w:rsidP="004C797B">
            <w:pPr>
              <w:spacing w:after="0"/>
              <w:jc w:val="center"/>
              <w:rPr>
                <w:b/>
                <w:sz w:val="20"/>
              </w:rPr>
            </w:pPr>
            <w:r w:rsidRPr="006E0441">
              <w:rPr>
                <w:b/>
                <w:noProof/>
                <w:sz w:val="20"/>
              </w:rPr>
              <w:t>M</w:t>
            </w:r>
          </w:p>
        </w:tc>
        <w:tc>
          <w:tcPr>
            <w:tcW w:w="0" w:type="auto"/>
            <w:tcBorders>
              <w:left w:val="single" w:sz="4" w:space="0" w:color="auto"/>
              <w:bottom w:val="single" w:sz="4" w:space="0" w:color="auto"/>
              <w:right w:val="single" w:sz="4" w:space="0" w:color="auto"/>
            </w:tcBorders>
            <w:shd w:val="clear" w:color="auto" w:fill="auto"/>
          </w:tcPr>
          <w:p w:rsidR="00F150B2" w:rsidRPr="006E0441" w:rsidRDefault="00F150B2" w:rsidP="004C797B">
            <w:pPr>
              <w:spacing w:after="0"/>
              <w:jc w:val="center"/>
              <w:rPr>
                <w:b/>
                <w:sz w:val="20"/>
              </w:rPr>
            </w:pPr>
            <w:r w:rsidRPr="006E0441">
              <w:rPr>
                <w:b/>
                <w:noProof/>
                <w:sz w:val="20"/>
              </w:rPr>
              <w:t>Ž</w:t>
            </w:r>
          </w:p>
        </w:tc>
        <w:tc>
          <w:tcPr>
            <w:tcW w:w="0" w:type="auto"/>
            <w:tcBorders>
              <w:left w:val="single" w:sz="4" w:space="0" w:color="auto"/>
              <w:bottom w:val="single" w:sz="4" w:space="0" w:color="auto"/>
              <w:right w:val="single" w:sz="4" w:space="0" w:color="auto"/>
            </w:tcBorders>
            <w:shd w:val="clear" w:color="auto" w:fill="auto"/>
          </w:tcPr>
          <w:p w:rsidR="00F150B2" w:rsidRPr="006E0441" w:rsidRDefault="00F150B2" w:rsidP="004C797B">
            <w:pPr>
              <w:spacing w:after="0"/>
              <w:jc w:val="center"/>
              <w:rPr>
                <w:b/>
                <w:sz w:val="20"/>
              </w:rPr>
            </w:pPr>
            <w:r w:rsidRPr="006E0441">
              <w:rPr>
                <w:b/>
                <w:noProof/>
                <w:sz w:val="20"/>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150B2" w:rsidRPr="006E0441" w:rsidRDefault="00F150B2" w:rsidP="004C797B">
            <w:pPr>
              <w:spacing w:after="0"/>
              <w:jc w:val="center"/>
              <w:rPr>
                <w:b/>
                <w:sz w:val="20"/>
              </w:rPr>
            </w:pPr>
            <w:r w:rsidRPr="006E0441">
              <w:rPr>
                <w:b/>
                <w:noProof/>
                <w:sz w:val="20"/>
              </w:rPr>
              <w:t>M</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150B2" w:rsidRPr="006E0441" w:rsidRDefault="00F150B2" w:rsidP="004C797B">
            <w:pPr>
              <w:spacing w:after="0"/>
              <w:jc w:val="center"/>
              <w:rPr>
                <w:b/>
                <w:sz w:val="20"/>
              </w:rPr>
            </w:pPr>
            <w:r w:rsidRPr="006E0441">
              <w:rPr>
                <w:b/>
                <w:noProof/>
                <w:sz w:val="20"/>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150B2" w:rsidRPr="006E0441" w:rsidRDefault="00F150B2" w:rsidP="004C797B">
            <w:pPr>
              <w:spacing w:after="0"/>
              <w:jc w:val="center"/>
              <w:rPr>
                <w:b/>
                <w:sz w:val="20"/>
              </w:rPr>
            </w:pPr>
            <w:r w:rsidRPr="006E0441">
              <w:rPr>
                <w:b/>
                <w:noProof/>
                <w:sz w:val="20"/>
              </w:rPr>
              <w:t>Skupaj</w:t>
            </w:r>
          </w:p>
        </w:tc>
      </w:tr>
      <w:tr w:rsidR="00F150B2" w:rsidRPr="006E0441" w:rsidTr="004C797B">
        <w:trPr>
          <w:trHeight w:val="291"/>
        </w:trPr>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rPr>
                <w:sz w:val="12"/>
                <w:szCs w:val="12"/>
              </w:rPr>
            </w:pPr>
            <w:r w:rsidRPr="006E0441">
              <w:rPr>
                <w:noProof/>
                <w:color w:val="000000"/>
                <w:sz w:val="12"/>
                <w:szCs w:val="12"/>
              </w:rPr>
              <w:t>07 - 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rPr>
                <w:noProof/>
                <w:color w:val="000000"/>
                <w:sz w:val="12"/>
                <w:szCs w:val="12"/>
              </w:rPr>
            </w:pPr>
            <w:r w:rsidRPr="006E0441">
              <w:rPr>
                <w:noProof/>
                <w:color w:val="000000"/>
                <w:sz w:val="12"/>
                <w:szCs w:val="12"/>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pacing w:after="0"/>
              <w:rPr>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rPr>
                <w:noProof/>
                <w:color w:val="000000"/>
                <w:sz w:val="12"/>
                <w:szCs w:val="12"/>
              </w:rPr>
            </w:pPr>
            <w:r w:rsidRPr="006E0441">
              <w:rPr>
                <w:noProof/>
                <w:color w:val="000000"/>
                <w:sz w:val="12"/>
                <w:szCs w:val="12"/>
              </w:rPr>
              <w:t>F1</w:t>
            </w:r>
            <w:r w:rsidRPr="006E0441">
              <w:rPr>
                <w:color w:val="000000"/>
                <w:sz w:val="12"/>
                <w:szCs w:val="12"/>
              </w:rPr>
              <w:t xml:space="preserve"> -</w:t>
            </w:r>
            <w:r w:rsidRPr="006E0441">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rPr>
                <w:noProof/>
                <w:color w:val="000000"/>
                <w:sz w:val="12"/>
                <w:szCs w:val="12"/>
              </w:rPr>
            </w:pPr>
            <w:r w:rsidRPr="006E0441">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F150B2" w:rsidRPr="006E0441" w:rsidRDefault="00F150B2" w:rsidP="004C797B">
            <w:pPr>
              <w:spacing w:after="0"/>
              <w:jc w:val="right"/>
              <w:rPr>
                <w:sz w:val="12"/>
                <w:szCs w:val="12"/>
              </w:rPr>
            </w:pPr>
          </w:p>
        </w:tc>
        <w:tc>
          <w:tcPr>
            <w:tcW w:w="0" w:type="auto"/>
            <w:tcBorders>
              <w:top w:val="single" w:sz="4" w:space="0" w:color="auto"/>
              <w:left w:val="single" w:sz="4" w:space="0" w:color="auto"/>
              <w:bottom w:val="single" w:sz="4" w:space="0" w:color="auto"/>
              <w:right w:val="single" w:sz="4" w:space="0" w:color="auto"/>
            </w:tcBorders>
          </w:tcPr>
          <w:p w:rsidR="00F150B2" w:rsidRPr="006E0441" w:rsidRDefault="00F150B2" w:rsidP="004C797B">
            <w:pPr>
              <w:spacing w:after="0"/>
              <w:jc w:val="right"/>
              <w:rPr>
                <w:sz w:val="12"/>
                <w:szCs w:val="12"/>
              </w:rPr>
            </w:pPr>
            <w:r w:rsidRPr="006E0441">
              <w:rPr>
                <w:noProof/>
                <w:sz w:val="12"/>
                <w:szCs w:val="12"/>
              </w:rPr>
              <w:t>69.000.000</w:t>
            </w: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F150B2" w:rsidRPr="006E0441" w:rsidRDefault="00F150B2" w:rsidP="004C797B">
            <w:pPr>
              <w:suppressAutoHyphens/>
              <w:spacing w:after="0"/>
              <w:jc w:val="right"/>
              <w:rPr>
                <w:noProof/>
                <w:color w:val="000000"/>
                <w:sz w:val="12"/>
                <w:szCs w:val="12"/>
              </w:rPr>
            </w:pPr>
            <w:r w:rsidRPr="006E0441">
              <w:rPr>
                <w:noProof/>
                <w:color w:val="000000"/>
                <w:sz w:val="12"/>
                <w:szCs w:val="12"/>
              </w:rPr>
              <w:t>272.292.271,00</w:t>
            </w:r>
          </w:p>
          <w:p w:rsidR="00F150B2" w:rsidRPr="006E0441" w:rsidRDefault="00F150B2" w:rsidP="004C797B">
            <w:pPr>
              <w:suppressAutoHyphens/>
              <w:spacing w:after="0"/>
              <w:jc w:val="right"/>
              <w:rPr>
                <w:color w:val="000000"/>
                <w:sz w:val="12"/>
                <w:szCs w:val="12"/>
              </w:rPr>
            </w:pPr>
          </w:p>
        </w:tc>
      </w:tr>
    </w:tbl>
    <w:p w:rsidR="00F150B2" w:rsidRPr="006E0441" w:rsidRDefault="00F150B2" w:rsidP="00F150B2">
      <w:pPr>
        <w:rPr>
          <w:b/>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1626"/>
        <w:gridCol w:w="821"/>
        <w:gridCol w:w="774"/>
        <w:gridCol w:w="1346"/>
        <w:gridCol w:w="401"/>
        <w:gridCol w:w="330"/>
        <w:gridCol w:w="744"/>
        <w:gridCol w:w="915"/>
        <w:gridCol w:w="1055"/>
      </w:tblGrid>
      <w:tr w:rsidR="00EC581A" w:rsidRPr="006E0441" w:rsidTr="00472D69">
        <w:trPr>
          <w:cantSplit/>
          <w:trHeight w:val="288"/>
          <w:tblHeader/>
        </w:trPr>
        <w:tc>
          <w:tcPr>
            <w:tcW w:w="0" w:type="auto"/>
            <w:gridSpan w:val="2"/>
            <w:shd w:val="clear" w:color="auto" w:fill="auto"/>
          </w:tcPr>
          <w:p w:rsidR="00EC581A" w:rsidRPr="006E0441" w:rsidRDefault="00EC581A" w:rsidP="00472D69">
            <w:pPr>
              <w:spacing w:after="0" w:line="240" w:lineRule="auto"/>
              <w:rPr>
                <w:rFonts w:cs="Arial"/>
                <w:b/>
                <w:sz w:val="16"/>
                <w:szCs w:val="16"/>
              </w:rPr>
            </w:pPr>
            <w:r w:rsidRPr="006E0441">
              <w:rPr>
                <w:rFonts w:cs="Arial"/>
                <w:b/>
                <w:sz w:val="16"/>
                <w:szCs w:val="16"/>
              </w:rPr>
              <w:t>Prednostna naložba</w:t>
            </w:r>
          </w:p>
        </w:tc>
        <w:tc>
          <w:tcPr>
            <w:tcW w:w="0" w:type="auto"/>
            <w:gridSpan w:val="8"/>
            <w:shd w:val="clear" w:color="auto" w:fill="auto"/>
          </w:tcPr>
          <w:p w:rsidR="00EC581A" w:rsidRPr="006E0441" w:rsidRDefault="00EC581A" w:rsidP="00472D69">
            <w:pPr>
              <w:spacing w:after="0" w:line="240" w:lineRule="auto"/>
              <w:rPr>
                <w:rFonts w:cs="Arial"/>
                <w:b/>
                <w:sz w:val="16"/>
                <w:szCs w:val="16"/>
              </w:rPr>
            </w:pPr>
            <w:r w:rsidRPr="006E0441">
              <w:rPr>
                <w:rFonts w:cs="Arial"/>
                <w:b/>
                <w:sz w:val="16"/>
                <w:szCs w:val="16"/>
              </w:rPr>
              <w:t xml:space="preserve">7iii - Razvoj in obnova celostnih, visokokakovostnih in </w:t>
            </w:r>
            <w:proofErr w:type="spellStart"/>
            <w:r w:rsidRPr="006E0441">
              <w:rPr>
                <w:rFonts w:cs="Arial"/>
                <w:b/>
                <w:sz w:val="16"/>
                <w:szCs w:val="16"/>
              </w:rPr>
              <w:t>interoperabilnih</w:t>
            </w:r>
            <w:proofErr w:type="spellEnd"/>
            <w:r w:rsidRPr="006E0441">
              <w:rPr>
                <w:rFonts w:cs="Arial"/>
                <w:b/>
                <w:sz w:val="16"/>
                <w:szCs w:val="16"/>
              </w:rPr>
              <w:t xml:space="preserve"> železniških sistemov ter spodbujanje ukrepov za zmanjševanje hrupa</w:t>
            </w:r>
          </w:p>
        </w:tc>
      </w:tr>
      <w:tr w:rsidR="00EC581A" w:rsidRPr="006E0441" w:rsidTr="00472D69">
        <w:trPr>
          <w:cantSplit/>
          <w:trHeight w:val="288"/>
          <w:tblHeader/>
        </w:trPr>
        <w:tc>
          <w:tcPr>
            <w:tcW w:w="0" w:type="auto"/>
            <w:vMerge w:val="restart"/>
            <w:shd w:val="clear" w:color="auto" w:fill="auto"/>
          </w:tcPr>
          <w:p w:rsidR="00EC581A" w:rsidRPr="006E0441" w:rsidRDefault="00EC581A" w:rsidP="00472D69">
            <w:pPr>
              <w:spacing w:after="0" w:line="240" w:lineRule="auto"/>
              <w:rPr>
                <w:rFonts w:cs="Arial"/>
                <w:b/>
                <w:sz w:val="16"/>
                <w:szCs w:val="16"/>
              </w:rPr>
            </w:pPr>
            <w:r w:rsidRPr="006E0441">
              <w:rPr>
                <w:rFonts w:cs="Arial"/>
                <w:b/>
                <w:sz w:val="16"/>
                <w:szCs w:val="16"/>
              </w:rPr>
              <w:t>Identifikator</w:t>
            </w:r>
          </w:p>
        </w:tc>
        <w:tc>
          <w:tcPr>
            <w:tcW w:w="0" w:type="auto"/>
            <w:vMerge w:val="restart"/>
            <w:shd w:val="clear" w:color="auto" w:fill="auto"/>
          </w:tcPr>
          <w:p w:rsidR="00EC581A" w:rsidRPr="006E0441" w:rsidRDefault="00EC581A" w:rsidP="00472D69">
            <w:pPr>
              <w:spacing w:after="0" w:line="240" w:lineRule="auto"/>
              <w:rPr>
                <w:rFonts w:cs="Arial"/>
                <w:b/>
                <w:sz w:val="16"/>
                <w:szCs w:val="16"/>
              </w:rPr>
            </w:pPr>
            <w:r w:rsidRPr="006E0441">
              <w:rPr>
                <w:rFonts w:cs="Arial"/>
                <w:b/>
                <w:sz w:val="16"/>
                <w:szCs w:val="16"/>
              </w:rPr>
              <w:t>Kazalnik</w:t>
            </w:r>
          </w:p>
        </w:tc>
        <w:tc>
          <w:tcPr>
            <w:tcW w:w="0" w:type="auto"/>
            <w:vMerge w:val="restart"/>
            <w:shd w:val="clear" w:color="auto" w:fill="auto"/>
          </w:tcPr>
          <w:p w:rsidR="00EC581A" w:rsidRPr="006E0441" w:rsidRDefault="00EC581A" w:rsidP="00472D69">
            <w:pPr>
              <w:spacing w:after="0" w:line="240" w:lineRule="auto"/>
              <w:rPr>
                <w:rFonts w:cs="Arial"/>
                <w:b/>
                <w:sz w:val="16"/>
                <w:szCs w:val="16"/>
              </w:rPr>
            </w:pPr>
            <w:r w:rsidRPr="006E0441">
              <w:rPr>
                <w:rFonts w:cs="Arial"/>
                <w:b/>
                <w:sz w:val="16"/>
                <w:szCs w:val="16"/>
              </w:rPr>
              <w:t>Merska enota</w:t>
            </w:r>
          </w:p>
        </w:tc>
        <w:tc>
          <w:tcPr>
            <w:tcW w:w="0" w:type="auto"/>
            <w:vMerge w:val="restart"/>
            <w:shd w:val="clear" w:color="auto" w:fill="auto"/>
          </w:tcPr>
          <w:p w:rsidR="00EC581A" w:rsidRPr="006E0441" w:rsidRDefault="00EC581A" w:rsidP="00472D69">
            <w:pPr>
              <w:spacing w:after="0" w:line="240" w:lineRule="auto"/>
              <w:rPr>
                <w:rFonts w:cs="Arial"/>
                <w:b/>
                <w:sz w:val="16"/>
                <w:szCs w:val="16"/>
              </w:rPr>
            </w:pPr>
            <w:r w:rsidRPr="006E0441">
              <w:rPr>
                <w:rFonts w:cs="Arial"/>
                <w:b/>
                <w:sz w:val="16"/>
                <w:szCs w:val="16"/>
              </w:rPr>
              <w:t>Sklad</w:t>
            </w:r>
          </w:p>
        </w:tc>
        <w:tc>
          <w:tcPr>
            <w:tcW w:w="0" w:type="auto"/>
            <w:vMerge w:val="restart"/>
            <w:shd w:val="clear" w:color="auto" w:fill="auto"/>
          </w:tcPr>
          <w:p w:rsidR="00EC581A" w:rsidRPr="006E0441" w:rsidRDefault="00EC581A" w:rsidP="00472D69">
            <w:pPr>
              <w:spacing w:after="0" w:line="240" w:lineRule="auto"/>
              <w:rPr>
                <w:rFonts w:cs="Arial"/>
                <w:b/>
                <w:sz w:val="16"/>
                <w:szCs w:val="16"/>
              </w:rPr>
            </w:pPr>
            <w:r w:rsidRPr="006E0441">
              <w:rPr>
                <w:rFonts w:cs="Arial"/>
                <w:b/>
                <w:sz w:val="16"/>
                <w:szCs w:val="16"/>
              </w:rPr>
              <w:t>Kategorija regije (če je relevantno)</w:t>
            </w:r>
          </w:p>
        </w:tc>
        <w:tc>
          <w:tcPr>
            <w:tcW w:w="0" w:type="auto"/>
            <w:gridSpan w:val="3"/>
            <w:shd w:val="clear" w:color="auto" w:fill="auto"/>
          </w:tcPr>
          <w:p w:rsidR="00EC581A" w:rsidRPr="006E0441" w:rsidRDefault="00EC581A" w:rsidP="00472D69">
            <w:pPr>
              <w:spacing w:after="0" w:line="240" w:lineRule="auto"/>
              <w:rPr>
                <w:rFonts w:cs="Arial"/>
                <w:b/>
                <w:sz w:val="16"/>
                <w:szCs w:val="16"/>
              </w:rPr>
            </w:pPr>
            <w:r w:rsidRPr="006E0441">
              <w:rPr>
                <w:rFonts w:cs="Arial"/>
                <w:b/>
                <w:sz w:val="16"/>
                <w:szCs w:val="16"/>
              </w:rPr>
              <w:t>Ciljna vrednost (za leto 2023)</w:t>
            </w:r>
          </w:p>
        </w:tc>
        <w:tc>
          <w:tcPr>
            <w:tcW w:w="0" w:type="auto"/>
            <w:vMerge w:val="restart"/>
            <w:shd w:val="clear" w:color="auto" w:fill="auto"/>
          </w:tcPr>
          <w:p w:rsidR="00EC581A" w:rsidRPr="006E0441" w:rsidRDefault="00EC581A" w:rsidP="00472D69">
            <w:pPr>
              <w:spacing w:after="0" w:line="240" w:lineRule="auto"/>
              <w:rPr>
                <w:rFonts w:cs="Arial"/>
                <w:b/>
                <w:sz w:val="16"/>
                <w:szCs w:val="16"/>
              </w:rPr>
            </w:pPr>
            <w:r w:rsidRPr="006E0441">
              <w:rPr>
                <w:rFonts w:cs="Arial"/>
                <w:b/>
                <w:sz w:val="16"/>
                <w:szCs w:val="16"/>
              </w:rPr>
              <w:t>Vir podatkov</w:t>
            </w:r>
          </w:p>
        </w:tc>
        <w:tc>
          <w:tcPr>
            <w:tcW w:w="0" w:type="auto"/>
            <w:vMerge w:val="restart"/>
            <w:shd w:val="clear" w:color="auto" w:fill="auto"/>
          </w:tcPr>
          <w:p w:rsidR="00EC581A" w:rsidRPr="006E0441" w:rsidRDefault="00EC581A" w:rsidP="00472D69">
            <w:pPr>
              <w:spacing w:after="0" w:line="240" w:lineRule="auto"/>
              <w:rPr>
                <w:rFonts w:cs="Arial"/>
                <w:b/>
                <w:sz w:val="16"/>
                <w:szCs w:val="16"/>
              </w:rPr>
            </w:pPr>
            <w:r w:rsidRPr="006E0441">
              <w:rPr>
                <w:rFonts w:cs="Arial"/>
                <w:b/>
                <w:sz w:val="16"/>
                <w:szCs w:val="16"/>
              </w:rPr>
              <w:t>Pogostost poročanja</w:t>
            </w:r>
          </w:p>
        </w:tc>
      </w:tr>
      <w:tr w:rsidR="00EC581A" w:rsidRPr="006E0441" w:rsidTr="00472D69">
        <w:trPr>
          <w:cantSplit/>
          <w:trHeight w:val="288"/>
          <w:tblHeader/>
        </w:trPr>
        <w:tc>
          <w:tcPr>
            <w:tcW w:w="0" w:type="auto"/>
            <w:vMerge/>
            <w:shd w:val="clear" w:color="auto" w:fill="auto"/>
          </w:tcPr>
          <w:p w:rsidR="00EC581A" w:rsidRPr="006E0441" w:rsidRDefault="00EC581A" w:rsidP="00472D69">
            <w:pPr>
              <w:spacing w:line="240" w:lineRule="auto"/>
              <w:rPr>
                <w:rFonts w:cs="Arial"/>
                <w:b/>
                <w:sz w:val="16"/>
                <w:szCs w:val="16"/>
              </w:rPr>
            </w:pPr>
          </w:p>
        </w:tc>
        <w:tc>
          <w:tcPr>
            <w:tcW w:w="0" w:type="auto"/>
            <w:vMerge/>
            <w:shd w:val="clear" w:color="auto" w:fill="auto"/>
          </w:tcPr>
          <w:p w:rsidR="00EC581A" w:rsidRPr="006E0441" w:rsidRDefault="00EC581A" w:rsidP="00472D69">
            <w:pPr>
              <w:spacing w:line="240" w:lineRule="auto"/>
              <w:rPr>
                <w:rFonts w:cs="Arial"/>
                <w:b/>
                <w:sz w:val="16"/>
                <w:szCs w:val="16"/>
              </w:rPr>
            </w:pPr>
          </w:p>
        </w:tc>
        <w:tc>
          <w:tcPr>
            <w:tcW w:w="0" w:type="auto"/>
            <w:vMerge/>
            <w:shd w:val="clear" w:color="auto" w:fill="auto"/>
          </w:tcPr>
          <w:p w:rsidR="00EC581A" w:rsidRPr="006E0441" w:rsidRDefault="00EC581A" w:rsidP="00472D69">
            <w:pPr>
              <w:spacing w:line="240" w:lineRule="auto"/>
              <w:rPr>
                <w:rFonts w:cs="Arial"/>
                <w:b/>
                <w:sz w:val="16"/>
                <w:szCs w:val="16"/>
              </w:rPr>
            </w:pPr>
          </w:p>
        </w:tc>
        <w:tc>
          <w:tcPr>
            <w:tcW w:w="0" w:type="auto"/>
            <w:vMerge/>
            <w:shd w:val="clear" w:color="auto" w:fill="auto"/>
          </w:tcPr>
          <w:p w:rsidR="00EC581A" w:rsidRPr="006E0441" w:rsidRDefault="00EC581A" w:rsidP="00472D69">
            <w:pPr>
              <w:spacing w:line="240" w:lineRule="auto"/>
              <w:rPr>
                <w:rFonts w:cs="Arial"/>
                <w:b/>
                <w:sz w:val="16"/>
                <w:szCs w:val="16"/>
              </w:rPr>
            </w:pPr>
          </w:p>
        </w:tc>
        <w:tc>
          <w:tcPr>
            <w:tcW w:w="0" w:type="auto"/>
            <w:vMerge/>
            <w:shd w:val="clear" w:color="auto" w:fill="auto"/>
          </w:tcPr>
          <w:p w:rsidR="00EC581A" w:rsidRPr="006E0441" w:rsidRDefault="00EC581A" w:rsidP="00472D69">
            <w:pPr>
              <w:spacing w:line="240" w:lineRule="auto"/>
              <w:rPr>
                <w:rFonts w:cs="Arial"/>
                <w:b/>
                <w:sz w:val="16"/>
                <w:szCs w:val="16"/>
              </w:rPr>
            </w:pPr>
          </w:p>
        </w:tc>
        <w:tc>
          <w:tcPr>
            <w:tcW w:w="0" w:type="auto"/>
            <w:shd w:val="clear" w:color="auto" w:fill="auto"/>
          </w:tcPr>
          <w:p w:rsidR="00EC581A" w:rsidRPr="006E0441" w:rsidRDefault="00EC581A" w:rsidP="00472D69">
            <w:pPr>
              <w:spacing w:line="240" w:lineRule="auto"/>
              <w:rPr>
                <w:rFonts w:cs="Arial"/>
                <w:b/>
                <w:sz w:val="16"/>
                <w:szCs w:val="16"/>
              </w:rPr>
            </w:pPr>
            <w:r w:rsidRPr="006E0441">
              <w:rPr>
                <w:rFonts w:cs="Arial"/>
                <w:b/>
                <w:sz w:val="16"/>
                <w:szCs w:val="16"/>
              </w:rPr>
              <w:t>M</w:t>
            </w:r>
          </w:p>
        </w:tc>
        <w:tc>
          <w:tcPr>
            <w:tcW w:w="0" w:type="auto"/>
            <w:shd w:val="clear" w:color="auto" w:fill="auto"/>
          </w:tcPr>
          <w:p w:rsidR="00EC581A" w:rsidRPr="006E0441" w:rsidRDefault="00EC581A" w:rsidP="00472D69">
            <w:pPr>
              <w:spacing w:line="240" w:lineRule="auto"/>
              <w:rPr>
                <w:rFonts w:cs="Arial"/>
                <w:b/>
                <w:sz w:val="16"/>
                <w:szCs w:val="16"/>
              </w:rPr>
            </w:pPr>
            <w:r w:rsidRPr="006E0441">
              <w:rPr>
                <w:rFonts w:cs="Arial"/>
                <w:b/>
                <w:sz w:val="16"/>
                <w:szCs w:val="16"/>
              </w:rPr>
              <w:t>Ž</w:t>
            </w:r>
          </w:p>
        </w:tc>
        <w:tc>
          <w:tcPr>
            <w:tcW w:w="0" w:type="auto"/>
            <w:shd w:val="clear" w:color="auto" w:fill="auto"/>
          </w:tcPr>
          <w:p w:rsidR="00EC581A" w:rsidRPr="006E0441" w:rsidRDefault="00EC581A" w:rsidP="00472D69">
            <w:pPr>
              <w:spacing w:line="240" w:lineRule="auto"/>
              <w:rPr>
                <w:rFonts w:cs="Arial"/>
                <w:b/>
                <w:sz w:val="16"/>
                <w:szCs w:val="16"/>
              </w:rPr>
            </w:pPr>
            <w:r w:rsidRPr="006E0441">
              <w:rPr>
                <w:rFonts w:cs="Arial"/>
                <w:b/>
                <w:sz w:val="16"/>
                <w:szCs w:val="16"/>
              </w:rPr>
              <w:t>Skupaj</w:t>
            </w:r>
          </w:p>
        </w:tc>
        <w:tc>
          <w:tcPr>
            <w:tcW w:w="0" w:type="auto"/>
            <w:vMerge/>
            <w:shd w:val="clear" w:color="auto" w:fill="auto"/>
          </w:tcPr>
          <w:p w:rsidR="00EC581A" w:rsidRPr="006E0441" w:rsidRDefault="00EC581A" w:rsidP="00472D69">
            <w:pPr>
              <w:spacing w:line="240" w:lineRule="auto"/>
              <w:rPr>
                <w:rFonts w:cs="Arial"/>
                <w:sz w:val="16"/>
                <w:szCs w:val="16"/>
              </w:rPr>
            </w:pPr>
          </w:p>
        </w:tc>
        <w:tc>
          <w:tcPr>
            <w:tcW w:w="0" w:type="auto"/>
            <w:vMerge/>
            <w:shd w:val="clear" w:color="auto" w:fill="auto"/>
          </w:tcPr>
          <w:p w:rsidR="00EC581A" w:rsidRPr="006E0441" w:rsidRDefault="00EC581A" w:rsidP="00472D69">
            <w:pPr>
              <w:spacing w:line="240" w:lineRule="auto"/>
              <w:rPr>
                <w:rFonts w:cs="Arial"/>
                <w:sz w:val="16"/>
                <w:szCs w:val="16"/>
              </w:rPr>
            </w:pPr>
          </w:p>
        </w:tc>
      </w:tr>
      <w:tr w:rsidR="00EC581A" w:rsidRPr="006E0441" w:rsidTr="00472D69">
        <w:trPr>
          <w:trHeight w:val="288"/>
        </w:trPr>
        <w:tc>
          <w:tcPr>
            <w:tcW w:w="0" w:type="auto"/>
            <w:shd w:val="clear" w:color="auto" w:fill="auto"/>
          </w:tcPr>
          <w:p w:rsidR="00EC581A" w:rsidRPr="006E0441" w:rsidRDefault="00EC581A" w:rsidP="00472D69">
            <w:pPr>
              <w:spacing w:after="0" w:line="240" w:lineRule="auto"/>
              <w:rPr>
                <w:rFonts w:cs="Arial"/>
                <w:sz w:val="12"/>
                <w:szCs w:val="12"/>
              </w:rPr>
            </w:pPr>
            <w:r w:rsidRPr="006E0441">
              <w:rPr>
                <w:rFonts w:cs="Arial"/>
                <w:sz w:val="12"/>
                <w:szCs w:val="12"/>
              </w:rPr>
              <w:t>7.8</w:t>
            </w:r>
          </w:p>
        </w:tc>
        <w:tc>
          <w:tcPr>
            <w:tcW w:w="0" w:type="auto"/>
            <w:shd w:val="clear" w:color="auto" w:fill="auto"/>
          </w:tcPr>
          <w:p w:rsidR="00EC581A" w:rsidRPr="006E0441" w:rsidRDefault="00EC581A" w:rsidP="00472D69">
            <w:pPr>
              <w:spacing w:after="0" w:line="240" w:lineRule="auto"/>
              <w:rPr>
                <w:rFonts w:cs="Arial"/>
                <w:sz w:val="12"/>
                <w:szCs w:val="12"/>
              </w:rPr>
            </w:pPr>
            <w:r w:rsidRPr="006E0441">
              <w:rPr>
                <w:rFonts w:cs="Arial"/>
                <w:sz w:val="12"/>
                <w:szCs w:val="12"/>
              </w:rPr>
              <w:t>Skupna dolžina novozgrajenih viaduktov in predorov brez opreme</w:t>
            </w:r>
          </w:p>
        </w:tc>
        <w:tc>
          <w:tcPr>
            <w:tcW w:w="0" w:type="auto"/>
            <w:shd w:val="clear" w:color="auto" w:fill="auto"/>
          </w:tcPr>
          <w:p w:rsidR="00EC581A" w:rsidRPr="006E0441" w:rsidRDefault="00EC581A" w:rsidP="00472D69">
            <w:pPr>
              <w:spacing w:after="0" w:line="240" w:lineRule="auto"/>
              <w:rPr>
                <w:rFonts w:cs="Arial"/>
                <w:sz w:val="12"/>
                <w:szCs w:val="12"/>
              </w:rPr>
            </w:pPr>
            <w:r w:rsidRPr="006E0441">
              <w:rPr>
                <w:rFonts w:cs="Arial"/>
                <w:sz w:val="12"/>
                <w:szCs w:val="12"/>
              </w:rPr>
              <w:t>km</w:t>
            </w:r>
          </w:p>
        </w:tc>
        <w:tc>
          <w:tcPr>
            <w:tcW w:w="0" w:type="auto"/>
            <w:shd w:val="clear" w:color="auto" w:fill="auto"/>
          </w:tcPr>
          <w:p w:rsidR="00EC581A" w:rsidRPr="006E0441" w:rsidRDefault="00EC581A" w:rsidP="00472D69">
            <w:pPr>
              <w:pStyle w:val="Text1"/>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Kohezijski sklad</w:t>
            </w:r>
          </w:p>
        </w:tc>
        <w:tc>
          <w:tcPr>
            <w:tcW w:w="0" w:type="auto"/>
            <w:shd w:val="clear" w:color="auto" w:fill="auto"/>
          </w:tcPr>
          <w:p w:rsidR="00EC581A" w:rsidRPr="006E0441" w:rsidRDefault="00EC581A" w:rsidP="00472D69">
            <w:pPr>
              <w:spacing w:after="0" w:line="240" w:lineRule="auto"/>
              <w:rPr>
                <w:rFonts w:cs="Arial"/>
                <w:sz w:val="12"/>
                <w:szCs w:val="12"/>
              </w:rPr>
            </w:pPr>
            <w:r w:rsidRPr="006E0441">
              <w:rPr>
                <w:rFonts w:cs="Arial"/>
                <w:sz w:val="12"/>
                <w:szCs w:val="12"/>
              </w:rPr>
              <w:t xml:space="preserve"> </w:t>
            </w:r>
          </w:p>
        </w:tc>
        <w:tc>
          <w:tcPr>
            <w:tcW w:w="0" w:type="auto"/>
            <w:shd w:val="clear" w:color="auto" w:fill="auto"/>
          </w:tcPr>
          <w:p w:rsidR="00EC581A" w:rsidRPr="006E0441" w:rsidRDefault="00EC581A" w:rsidP="00472D69">
            <w:pPr>
              <w:spacing w:after="0" w:line="240" w:lineRule="auto"/>
              <w:jc w:val="right"/>
              <w:rPr>
                <w:rFonts w:cs="Arial"/>
                <w:sz w:val="12"/>
                <w:szCs w:val="12"/>
              </w:rPr>
            </w:pPr>
          </w:p>
        </w:tc>
        <w:tc>
          <w:tcPr>
            <w:tcW w:w="0" w:type="auto"/>
            <w:shd w:val="clear" w:color="auto" w:fill="auto"/>
          </w:tcPr>
          <w:p w:rsidR="00EC581A" w:rsidRPr="006E0441" w:rsidRDefault="00EC581A" w:rsidP="00472D69">
            <w:pPr>
              <w:spacing w:after="0" w:line="240" w:lineRule="auto"/>
              <w:jc w:val="right"/>
              <w:rPr>
                <w:rFonts w:cs="Arial"/>
                <w:sz w:val="12"/>
                <w:szCs w:val="12"/>
              </w:rPr>
            </w:pPr>
          </w:p>
        </w:tc>
        <w:tc>
          <w:tcPr>
            <w:tcW w:w="0" w:type="auto"/>
            <w:shd w:val="clear" w:color="auto" w:fill="auto"/>
          </w:tcPr>
          <w:p w:rsidR="00EC581A" w:rsidRPr="006E0441" w:rsidRDefault="00EC581A" w:rsidP="00472D69">
            <w:pPr>
              <w:spacing w:after="0" w:line="240" w:lineRule="auto"/>
              <w:jc w:val="right"/>
              <w:rPr>
                <w:rFonts w:cs="Arial"/>
                <w:sz w:val="12"/>
                <w:szCs w:val="12"/>
              </w:rPr>
            </w:pPr>
            <w:r w:rsidRPr="006E0441">
              <w:rPr>
                <w:rFonts w:cs="Arial"/>
                <w:sz w:val="12"/>
                <w:szCs w:val="12"/>
              </w:rPr>
              <w:t>4,90</w:t>
            </w:r>
          </w:p>
        </w:tc>
        <w:tc>
          <w:tcPr>
            <w:tcW w:w="0" w:type="auto"/>
            <w:shd w:val="clear" w:color="auto" w:fill="auto"/>
          </w:tcPr>
          <w:p w:rsidR="00EC581A" w:rsidRPr="006E0441" w:rsidRDefault="00EC581A" w:rsidP="00472D69">
            <w:pPr>
              <w:spacing w:after="0" w:line="240" w:lineRule="auto"/>
              <w:rPr>
                <w:rFonts w:cs="Arial"/>
                <w:sz w:val="12"/>
                <w:szCs w:val="12"/>
              </w:rPr>
            </w:pPr>
            <w:r w:rsidRPr="006E0441">
              <w:rPr>
                <w:rFonts w:cs="Arial"/>
                <w:sz w:val="12"/>
                <w:szCs w:val="12"/>
              </w:rPr>
              <w:t>MZI</w:t>
            </w:r>
          </w:p>
        </w:tc>
        <w:tc>
          <w:tcPr>
            <w:tcW w:w="0" w:type="auto"/>
            <w:shd w:val="clear" w:color="auto" w:fill="auto"/>
          </w:tcPr>
          <w:p w:rsidR="00EC581A" w:rsidRPr="006E0441" w:rsidRDefault="00EC581A" w:rsidP="00472D69">
            <w:pPr>
              <w:pStyle w:val="Text2"/>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letno</w:t>
            </w:r>
          </w:p>
        </w:tc>
      </w:tr>
      <w:tr w:rsidR="00542769" w:rsidRPr="006E0441" w:rsidTr="00472D69">
        <w:trPr>
          <w:trHeight w:val="288"/>
        </w:trPr>
        <w:tc>
          <w:tcPr>
            <w:tcW w:w="0" w:type="auto"/>
            <w:shd w:val="clear" w:color="auto" w:fill="auto"/>
          </w:tcPr>
          <w:p w:rsidR="00542769" w:rsidRPr="006E0441" w:rsidRDefault="00542769" w:rsidP="00542769">
            <w:pPr>
              <w:spacing w:after="0" w:line="240" w:lineRule="auto"/>
              <w:rPr>
                <w:rFonts w:cs="Arial"/>
                <w:sz w:val="12"/>
                <w:szCs w:val="12"/>
              </w:rPr>
            </w:pPr>
            <w:r w:rsidRPr="006E0441">
              <w:rPr>
                <w:rFonts w:cs="Arial"/>
                <w:sz w:val="12"/>
                <w:szCs w:val="12"/>
              </w:rPr>
              <w:t>CO12a</w:t>
            </w:r>
          </w:p>
        </w:tc>
        <w:tc>
          <w:tcPr>
            <w:tcW w:w="0" w:type="auto"/>
            <w:shd w:val="clear" w:color="auto" w:fill="auto"/>
          </w:tcPr>
          <w:p w:rsidR="00542769" w:rsidRPr="006E0441" w:rsidRDefault="00542769" w:rsidP="00542769">
            <w:pPr>
              <w:spacing w:after="0" w:line="240" w:lineRule="auto"/>
              <w:rPr>
                <w:rFonts w:cs="Arial"/>
                <w:sz w:val="12"/>
                <w:szCs w:val="12"/>
              </w:rPr>
            </w:pPr>
            <w:r w:rsidRPr="006E0441">
              <w:rPr>
                <w:rFonts w:cs="Arial"/>
                <w:sz w:val="12"/>
                <w:szCs w:val="12"/>
              </w:rPr>
              <w:t>Železniški: skupna dolžina obnovljenih ali posodobljenih železniških prog, od tega: TEN-T</w:t>
            </w:r>
          </w:p>
        </w:tc>
        <w:tc>
          <w:tcPr>
            <w:tcW w:w="0" w:type="auto"/>
            <w:shd w:val="clear" w:color="auto" w:fill="auto"/>
          </w:tcPr>
          <w:p w:rsidR="00542769" w:rsidRPr="006E0441" w:rsidRDefault="00542769" w:rsidP="00542769">
            <w:pPr>
              <w:spacing w:after="0" w:line="240" w:lineRule="auto"/>
              <w:rPr>
                <w:rFonts w:cs="Arial"/>
                <w:sz w:val="12"/>
                <w:szCs w:val="12"/>
              </w:rPr>
            </w:pPr>
            <w:r w:rsidRPr="006E0441">
              <w:rPr>
                <w:rFonts w:cs="Arial"/>
                <w:sz w:val="12"/>
                <w:szCs w:val="12"/>
              </w:rPr>
              <w:t>km</w:t>
            </w:r>
          </w:p>
        </w:tc>
        <w:tc>
          <w:tcPr>
            <w:tcW w:w="0" w:type="auto"/>
            <w:shd w:val="clear" w:color="auto" w:fill="auto"/>
          </w:tcPr>
          <w:p w:rsidR="00542769" w:rsidRPr="006E0441" w:rsidRDefault="00542769" w:rsidP="00542769">
            <w:pPr>
              <w:pStyle w:val="Text1"/>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Kohezijski sklad</w:t>
            </w:r>
          </w:p>
        </w:tc>
        <w:tc>
          <w:tcPr>
            <w:tcW w:w="0" w:type="auto"/>
            <w:shd w:val="clear" w:color="auto" w:fill="auto"/>
          </w:tcPr>
          <w:p w:rsidR="00542769" w:rsidRPr="006E0441" w:rsidRDefault="00542769" w:rsidP="00542769">
            <w:pPr>
              <w:spacing w:after="0" w:line="240" w:lineRule="auto"/>
              <w:rPr>
                <w:rFonts w:cs="Arial"/>
                <w:sz w:val="12"/>
                <w:szCs w:val="12"/>
              </w:rPr>
            </w:pPr>
          </w:p>
        </w:tc>
        <w:tc>
          <w:tcPr>
            <w:tcW w:w="0" w:type="auto"/>
            <w:shd w:val="clear" w:color="auto" w:fill="auto"/>
          </w:tcPr>
          <w:p w:rsidR="00542769" w:rsidRPr="006E0441" w:rsidRDefault="00542769" w:rsidP="00542769">
            <w:pPr>
              <w:spacing w:after="0" w:line="240" w:lineRule="auto"/>
              <w:jc w:val="right"/>
              <w:rPr>
                <w:rFonts w:cs="Arial"/>
                <w:sz w:val="12"/>
                <w:szCs w:val="12"/>
              </w:rPr>
            </w:pPr>
          </w:p>
        </w:tc>
        <w:tc>
          <w:tcPr>
            <w:tcW w:w="0" w:type="auto"/>
            <w:shd w:val="clear" w:color="auto" w:fill="auto"/>
          </w:tcPr>
          <w:p w:rsidR="00542769" w:rsidRPr="006E0441" w:rsidRDefault="00542769" w:rsidP="00542769">
            <w:pPr>
              <w:spacing w:after="0" w:line="240" w:lineRule="auto"/>
              <w:jc w:val="right"/>
              <w:rPr>
                <w:rFonts w:cs="Arial"/>
                <w:sz w:val="12"/>
                <w:szCs w:val="12"/>
              </w:rPr>
            </w:pPr>
          </w:p>
        </w:tc>
        <w:tc>
          <w:tcPr>
            <w:tcW w:w="0" w:type="auto"/>
            <w:shd w:val="clear" w:color="auto" w:fill="auto"/>
          </w:tcPr>
          <w:p w:rsidR="00542769" w:rsidRPr="006E0441" w:rsidRDefault="00542769" w:rsidP="00542769">
            <w:pPr>
              <w:spacing w:after="0" w:line="240" w:lineRule="auto"/>
              <w:jc w:val="right"/>
              <w:rPr>
                <w:rFonts w:cs="Arial"/>
                <w:sz w:val="12"/>
                <w:szCs w:val="12"/>
              </w:rPr>
            </w:pPr>
            <w:r w:rsidRPr="006E0441">
              <w:rPr>
                <w:rFonts w:cs="Arial"/>
                <w:sz w:val="12"/>
                <w:szCs w:val="12"/>
              </w:rPr>
              <w:t>24,24</w:t>
            </w:r>
          </w:p>
        </w:tc>
        <w:tc>
          <w:tcPr>
            <w:tcW w:w="0" w:type="auto"/>
            <w:shd w:val="clear" w:color="auto" w:fill="auto"/>
          </w:tcPr>
          <w:p w:rsidR="00542769" w:rsidRPr="006E0441" w:rsidRDefault="00542769" w:rsidP="00542769">
            <w:pPr>
              <w:spacing w:after="0" w:line="240" w:lineRule="auto"/>
              <w:rPr>
                <w:rFonts w:cs="Arial"/>
                <w:sz w:val="12"/>
                <w:szCs w:val="12"/>
              </w:rPr>
            </w:pPr>
            <w:r w:rsidRPr="006E0441">
              <w:rPr>
                <w:rFonts w:cs="Arial"/>
                <w:sz w:val="12"/>
                <w:szCs w:val="12"/>
              </w:rPr>
              <w:t>MZI</w:t>
            </w:r>
          </w:p>
        </w:tc>
        <w:tc>
          <w:tcPr>
            <w:tcW w:w="0" w:type="auto"/>
            <w:shd w:val="clear" w:color="auto" w:fill="auto"/>
          </w:tcPr>
          <w:p w:rsidR="00542769" w:rsidRPr="006E0441" w:rsidRDefault="00542769" w:rsidP="00542769">
            <w:pPr>
              <w:pStyle w:val="Text2"/>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letno</w:t>
            </w:r>
          </w:p>
        </w:tc>
      </w:tr>
    </w:tbl>
    <w:p w:rsidR="00EC581A" w:rsidRPr="006E0441" w:rsidRDefault="00EC581A" w:rsidP="00F150B2">
      <w:pPr>
        <w:rPr>
          <w:b/>
          <w:noProof/>
        </w:rPr>
      </w:pPr>
    </w:p>
    <w:p w:rsidR="00F150B2" w:rsidRPr="006E0441" w:rsidRDefault="00F150B2" w:rsidP="00F150B2">
      <w:pPr>
        <w:jc w:val="both"/>
        <w:rPr>
          <w:rStyle w:val="Neenpoudarek"/>
          <w:rFonts w:cs="Arial"/>
          <w:i w:val="0"/>
          <w:color w:val="auto"/>
        </w:rPr>
      </w:pPr>
      <w:r w:rsidRPr="006E0441">
        <w:rPr>
          <w:rStyle w:val="Neenpoudarek"/>
          <w:rFonts w:cs="Arial"/>
          <w:color w:val="auto"/>
        </w:rPr>
        <w:t>Obrazložitev:</w:t>
      </w:r>
      <w:r w:rsidRPr="006E0441">
        <w:rPr>
          <w:rStyle w:val="Neenpoudarek"/>
          <w:rFonts w:cs="Arial"/>
          <w:i w:val="0"/>
          <w:color w:val="auto"/>
        </w:rPr>
        <w:t xml:space="preserve"> </w:t>
      </w:r>
    </w:p>
    <w:p w:rsidR="00810C25" w:rsidRPr="006E0441" w:rsidRDefault="00CA4F1C" w:rsidP="00F96696">
      <w:pPr>
        <w:jc w:val="both"/>
        <w:rPr>
          <w:rFonts w:ascii="Calibri" w:hAnsi="Calibri" w:cs="Helv"/>
          <w:caps/>
          <w:color w:val="000000"/>
          <w:szCs w:val="20"/>
          <w:lang w:eastAsia="sl-SI"/>
        </w:rPr>
      </w:pPr>
      <w:r w:rsidRPr="006E0441">
        <w:rPr>
          <w:rFonts w:ascii="Calibri" w:hAnsi="Calibri" w:cs="Helv"/>
          <w:color w:val="000000"/>
          <w:szCs w:val="20"/>
          <w:lang w:eastAsia="sl-SI"/>
        </w:rPr>
        <w:t>P</w:t>
      </w:r>
      <w:r w:rsidR="00F150B2" w:rsidRPr="006E0441">
        <w:rPr>
          <w:rFonts w:ascii="Calibri" w:hAnsi="Calibri" w:cs="Helv"/>
          <w:color w:val="000000"/>
          <w:szCs w:val="20"/>
          <w:lang w:eastAsia="sl-SI"/>
        </w:rPr>
        <w:t>ravice porabe se na prednostni naložbi višajo. Iz tega razloga se sorazmerno zvišajo tudi finančni kazalniki od kocu obdobja.</w:t>
      </w:r>
      <w:r w:rsidR="00810C25" w:rsidRPr="006E0441">
        <w:rPr>
          <w:rFonts w:ascii="Calibri" w:hAnsi="Calibri" w:cs="Helv"/>
          <w:color w:val="000000"/>
          <w:szCs w:val="20"/>
          <w:lang w:eastAsia="sl-SI"/>
        </w:rPr>
        <w:t xml:space="preserve"> Na osnovi vključitve projekta Varnostno-tehnična nadgradnja železniškega predora Karavanke, se ustrezno dopolni kazalnik dolžine obnovljenih ali posodobljenih železniških prog.</w:t>
      </w:r>
    </w:p>
    <w:p w:rsidR="00CA4F1C" w:rsidRPr="006E0441" w:rsidRDefault="00CA4F1C" w:rsidP="00F96696">
      <w:pPr>
        <w:jc w:val="both"/>
        <w:rPr>
          <w:rFonts w:ascii="Calibri" w:hAnsi="Calibri" w:cs="Helv"/>
          <w:color w:val="000000"/>
          <w:szCs w:val="20"/>
          <w:lang w:eastAsia="sl-SI"/>
        </w:rPr>
      </w:pPr>
      <w:r w:rsidRPr="006E0441">
        <w:rPr>
          <w:rFonts w:ascii="Calibri" w:hAnsi="Calibri" w:cs="Helv"/>
          <w:color w:val="000000"/>
          <w:szCs w:val="20"/>
          <w:lang w:eastAsia="sl-SI"/>
        </w:rPr>
        <w:lastRenderedPageBreak/>
        <w:t>Kazalniki učinka »7.8 – Skupna dolžina novozgrajenih viaduktov in predorov brez opreme v km«</w:t>
      </w:r>
      <w:r w:rsidR="00EC581A" w:rsidRPr="006E0441">
        <w:rPr>
          <w:rFonts w:ascii="Calibri" w:hAnsi="Calibri" w:cs="Helv"/>
          <w:color w:val="000000"/>
          <w:szCs w:val="20"/>
          <w:lang w:eastAsia="sl-SI"/>
        </w:rPr>
        <w:t xml:space="preserve"> se popravi </w:t>
      </w:r>
      <w:r w:rsidRPr="006E0441">
        <w:rPr>
          <w:rFonts w:ascii="Calibri" w:hAnsi="Calibri" w:cs="Helv"/>
          <w:color w:val="000000"/>
          <w:szCs w:val="20"/>
          <w:lang w:eastAsia="sl-SI"/>
        </w:rPr>
        <w:t xml:space="preserve">iz 3,20 km </w:t>
      </w:r>
      <w:r w:rsidR="00EC581A" w:rsidRPr="006E0441">
        <w:rPr>
          <w:rFonts w:ascii="Calibri" w:hAnsi="Calibri" w:cs="Helv"/>
          <w:color w:val="000000"/>
          <w:szCs w:val="20"/>
          <w:lang w:eastAsia="sl-SI"/>
        </w:rPr>
        <w:t xml:space="preserve">na 4,90 km. </w:t>
      </w:r>
      <w:r w:rsidRPr="006E0441">
        <w:rPr>
          <w:rFonts w:ascii="Calibri" w:hAnsi="Calibri" w:cs="Helv"/>
          <w:color w:val="000000"/>
          <w:szCs w:val="20"/>
          <w:lang w:eastAsia="sl-SI"/>
        </w:rPr>
        <w:t xml:space="preserve">Pri podrobnem obračunu kilometrov nove proge, ki bo zgrajena </w:t>
      </w:r>
      <w:r w:rsidR="00EC581A" w:rsidRPr="006E0441">
        <w:rPr>
          <w:rFonts w:ascii="Calibri" w:hAnsi="Calibri" w:cs="Helv"/>
          <w:color w:val="000000"/>
          <w:szCs w:val="20"/>
          <w:lang w:eastAsia="sl-SI"/>
        </w:rPr>
        <w:t xml:space="preserve">v okviru izvedbe operacije Del </w:t>
      </w:r>
      <w:r w:rsidRPr="006E0441">
        <w:rPr>
          <w:rFonts w:ascii="Calibri" w:hAnsi="Calibri" w:cs="Helv"/>
          <w:color w:val="000000"/>
          <w:szCs w:val="20"/>
          <w:lang w:eastAsia="sl-SI"/>
        </w:rPr>
        <w:t>drugega tira Divača – Koper - Ukrep 3 (gradnja predora T8 in viaduktov V1 in V2), katera je bila v odobrena s strani EK v 09/2020, predlagamo, da se izvede uskladitev višine kazalnika v OP EKP.</w:t>
      </w:r>
    </w:p>
    <w:p w:rsidR="00EC581A" w:rsidRPr="006E0441" w:rsidRDefault="00EC581A">
      <w:pPr>
        <w:rPr>
          <w:rFonts w:cs="Arial"/>
          <w:szCs w:val="20"/>
        </w:rPr>
      </w:pPr>
    </w:p>
    <w:p w:rsidR="004C64D6" w:rsidRPr="006E0441" w:rsidRDefault="004C64D6" w:rsidP="004C64D6">
      <w:pPr>
        <w:pStyle w:val="Naslov4"/>
        <w:rPr>
          <w:b/>
        </w:rPr>
      </w:pPr>
      <w:r w:rsidRPr="006E0441">
        <w:rPr>
          <w:b/>
        </w:rPr>
        <w:t>PREDNOSTNA OS 9</w:t>
      </w:r>
    </w:p>
    <w:p w:rsidR="004C64D6" w:rsidRPr="006E0441" w:rsidRDefault="004C64D6" w:rsidP="004C64D6"/>
    <w:p w:rsidR="00101D7A" w:rsidRPr="006E0441" w:rsidRDefault="00101D7A" w:rsidP="00101D7A">
      <w:pPr>
        <w:jc w:val="both"/>
        <w:rPr>
          <w:rFonts w:ascii="Calibri" w:hAnsi="Calibri" w:cs="Helv"/>
          <w:color w:val="000000"/>
          <w:szCs w:val="20"/>
          <w:lang w:eastAsia="sl-SI"/>
        </w:rPr>
      </w:pPr>
      <w:r w:rsidRPr="006E0441">
        <w:rPr>
          <w:rFonts w:ascii="Calibri" w:hAnsi="Calibri" w:cs="Helv"/>
          <w:b/>
          <w:color w:val="000000"/>
          <w:szCs w:val="20"/>
          <w:lang w:eastAsia="sl-SI"/>
        </w:rPr>
        <w:t>9.22 kazalnik učinka Število vključenih oseb</w:t>
      </w:r>
      <w:r w:rsidRPr="006E0441">
        <w:rPr>
          <w:rFonts w:ascii="Calibri" w:hAnsi="Calibri" w:cs="Helv"/>
          <w:color w:val="000000"/>
          <w:szCs w:val="20"/>
          <w:lang w:eastAsia="sl-SI"/>
        </w:rPr>
        <w:t xml:space="preserve">, </w:t>
      </w:r>
      <w:r w:rsidRPr="006E0441">
        <w:rPr>
          <w:rFonts w:ascii="Calibri" w:hAnsi="Calibri" w:cs="Helv"/>
          <w:i/>
          <w:color w:val="000000"/>
          <w:szCs w:val="20"/>
          <w:lang w:eastAsia="sl-SI"/>
        </w:rPr>
        <w:t>PN 9.4: Spodbujanje socialnega podjetništva in poklicnega vključevanja v socialna podjetja ter socialnega in solidarnega gospodarstva, da bi vsem olajšali dostop do zaposlitve</w:t>
      </w:r>
      <w:r w:rsidRPr="006E0441">
        <w:rPr>
          <w:rFonts w:ascii="Calibri" w:hAnsi="Calibri" w:cs="Helv"/>
          <w:color w:val="000000"/>
          <w:szCs w:val="20"/>
          <w:lang w:eastAsia="sl-SI"/>
        </w:rPr>
        <w:t xml:space="preserve"> – doseganje kazalnika je ogroženo v kohezijski regiji Zahodna Slovenija. Že v času programiranja OP EKP 2014-2020 smo ugotavljali, da je socialno podjetništvo tudi zaradi</w:t>
      </w:r>
      <w:r w:rsidR="00004E94" w:rsidRPr="006E0441">
        <w:rPr>
          <w:rFonts w:ascii="Calibri" w:hAnsi="Calibri" w:cs="Helv"/>
          <w:color w:val="000000"/>
          <w:szCs w:val="20"/>
          <w:lang w:eastAsia="sl-SI"/>
        </w:rPr>
        <w:t xml:space="preserve"> </w:t>
      </w:r>
      <w:r w:rsidRPr="006E0441">
        <w:rPr>
          <w:rFonts w:ascii="Calibri" w:hAnsi="Calibri" w:cs="Helv"/>
          <w:color w:val="000000"/>
          <w:szCs w:val="20"/>
          <w:lang w:eastAsia="sl-SI"/>
        </w:rPr>
        <w:t xml:space="preserve">Zakona o razvojni podpori Pomurski regiji bolj razvito v KRVS (72 % vseh </w:t>
      </w:r>
      <w:proofErr w:type="spellStart"/>
      <w:r w:rsidRPr="006E0441">
        <w:rPr>
          <w:rFonts w:ascii="Calibri" w:hAnsi="Calibri" w:cs="Helv"/>
          <w:color w:val="000000"/>
          <w:szCs w:val="20"/>
          <w:lang w:eastAsia="sl-SI"/>
        </w:rPr>
        <w:t>so.p</w:t>
      </w:r>
      <w:proofErr w:type="spellEnd"/>
      <w:r w:rsidRPr="006E0441">
        <w:rPr>
          <w:rFonts w:ascii="Calibri" w:hAnsi="Calibri" w:cs="Helv"/>
          <w:color w:val="000000"/>
          <w:szCs w:val="20"/>
          <w:lang w:eastAsia="sl-SI"/>
        </w:rPr>
        <w:t>.), a smo predvidevali, da bo razvoj potekal v KRZS hitreje tudi zaradi sprejete strategije za obdobje 2014-2015 in Programa ukrepov za leti 2014-2015, ki naj bi omogočali podporno shemo za vse deležnike in razvoja dejavnosti v obstoječih in novih socialnih podjetjih. Zato smo tako sredstva kot tudi kazalnike načrtovali v razmerju 55 % KRVS in 45 % KRZS.</w:t>
      </w:r>
    </w:p>
    <w:p w:rsidR="00101D7A" w:rsidRPr="006E0441" w:rsidRDefault="00101D7A" w:rsidP="00101D7A">
      <w:pPr>
        <w:jc w:val="both"/>
        <w:rPr>
          <w:rFonts w:ascii="Calibri" w:hAnsi="Calibri"/>
        </w:rPr>
      </w:pPr>
      <w:r w:rsidRPr="006E0441">
        <w:rPr>
          <w:rFonts w:ascii="Calibri" w:hAnsi="Calibri" w:cs="Helv"/>
          <w:color w:val="000000"/>
          <w:szCs w:val="20"/>
          <w:lang w:eastAsia="sl-SI"/>
        </w:rPr>
        <w:t xml:space="preserve">Iz podatkov, ki so objavljeni na spletni strani </w:t>
      </w:r>
      <w:hyperlink r:id="rId18" w:history="1">
        <w:r w:rsidRPr="006E0441">
          <w:rPr>
            <w:rStyle w:val="Hiperpovezava"/>
            <w:rFonts w:ascii="Calibri" w:hAnsi="Calibri"/>
          </w:rPr>
          <w:t>https://podatki.gov.si/dataset/evidenca-socialnih-podjetij</w:t>
        </w:r>
      </w:hyperlink>
      <w:r w:rsidRPr="006E0441">
        <w:rPr>
          <w:rFonts w:ascii="Calibri" w:hAnsi="Calibri"/>
        </w:rPr>
        <w:t xml:space="preserve"> (stanje na dan 31. 12. 2019), je razvidno, da je od 268 socialnih podjetij, kar 70 % registriranih v KRVS in le 30 % KRZS. Interes delodajalcev za preoblikovanje v socialno podjetje je bistveno nižji v zahodni kohezijski regiji kot vzhodni. Ugotavljamo, da izvedba programov praktičnega usposabljanja za ciljne skupine v delovnem okolju socialnega podjetništva v KRZS ne poteka v skladu z načrtovanim, saj ni dovolj socialnih podjetij, oz. obstoječa socialna podjetja za izvedbo programov usposabljanja niso zainteresirana. V skladu z navedenim smo že v začetku leta 2020 predlagali prerazporeditev sredstev iz te PN na PN 9.1: Aktivno vključevanje.</w:t>
      </w:r>
    </w:p>
    <w:p w:rsidR="002D3147" w:rsidRPr="006E0441" w:rsidRDefault="00101D7A" w:rsidP="00101D7A">
      <w:pPr>
        <w:jc w:val="both"/>
        <w:rPr>
          <w:b/>
          <w:noProof/>
        </w:rPr>
      </w:pPr>
      <w:r w:rsidRPr="006E0441">
        <w:t>Zato predlagamo prilagoditev kazalnikov učinka 9.22.</w:t>
      </w:r>
    </w:p>
    <w:p w:rsidR="002D3147" w:rsidRPr="006E0441" w:rsidRDefault="002D3147" w:rsidP="00101D7A">
      <w:pPr>
        <w:jc w:val="both"/>
      </w:pPr>
    </w:p>
    <w:p w:rsidR="002D3147" w:rsidRPr="006E0441" w:rsidRDefault="002D3147" w:rsidP="00F96696">
      <w:pPr>
        <w:jc w:val="both"/>
        <w:rPr>
          <w:noProof/>
        </w:rPr>
      </w:pPr>
      <w:bookmarkStart w:id="16" w:name="_Toc406145991"/>
      <w:r w:rsidRPr="006E0441">
        <w:rPr>
          <w:b/>
          <w:noProof/>
        </w:rPr>
        <w:t>OP 5.0 – stanje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918"/>
        <w:gridCol w:w="956"/>
        <w:gridCol w:w="637"/>
        <w:gridCol w:w="1686"/>
        <w:gridCol w:w="418"/>
        <w:gridCol w:w="344"/>
        <w:gridCol w:w="775"/>
        <w:gridCol w:w="1029"/>
        <w:gridCol w:w="1249"/>
      </w:tblGrid>
      <w:tr w:rsidR="002D3147" w:rsidRPr="006E0441" w:rsidTr="00472D69">
        <w:trPr>
          <w:cantSplit/>
          <w:trHeight w:val="288"/>
          <w:tblHeader/>
        </w:trPr>
        <w:tc>
          <w:tcPr>
            <w:tcW w:w="0" w:type="auto"/>
            <w:gridSpan w:val="2"/>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Prednostna naložba</w:t>
            </w:r>
          </w:p>
        </w:tc>
        <w:tc>
          <w:tcPr>
            <w:tcW w:w="0" w:type="auto"/>
            <w:gridSpan w:val="8"/>
            <w:shd w:val="clear" w:color="auto" w:fill="auto"/>
          </w:tcPr>
          <w:p w:rsidR="002D3147" w:rsidRPr="006E0441" w:rsidRDefault="002D3147" w:rsidP="00472D69">
            <w:pPr>
              <w:spacing w:after="0" w:line="240" w:lineRule="auto"/>
              <w:rPr>
                <w:rFonts w:cs="Arial"/>
                <w:b/>
                <w:sz w:val="16"/>
                <w:szCs w:val="16"/>
              </w:rPr>
            </w:pPr>
            <w:bookmarkStart w:id="17" w:name="_Toc256000372"/>
            <w:r w:rsidRPr="006E0441">
              <w:rPr>
                <w:b/>
                <w:noProof/>
                <w:color w:val="000000"/>
                <w:sz w:val="16"/>
                <w:szCs w:val="16"/>
              </w:rPr>
              <w:t>9v - Spodbujanje socialnega podjetništva in poklicnega vključevanja v socialna podjetja ter socialnega in solidarnega gospodarstva, da bi vsem olajšali dostop do zaposlitve</w:t>
            </w:r>
            <w:bookmarkEnd w:id="17"/>
          </w:p>
        </w:tc>
      </w:tr>
      <w:tr w:rsidR="002D3147" w:rsidRPr="006E0441" w:rsidTr="00472D69">
        <w:trPr>
          <w:cantSplit/>
          <w:trHeight w:val="288"/>
          <w:tblHeader/>
        </w:trPr>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Identifikator</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Kazalnik</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Merska enota</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Sklad</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Kategorija regije (če je relevantno)</w:t>
            </w:r>
          </w:p>
        </w:tc>
        <w:tc>
          <w:tcPr>
            <w:tcW w:w="0" w:type="auto"/>
            <w:gridSpan w:val="3"/>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Ciljna vrednost (za leto 2023)</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Vir podatkov</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Pogostost poročanja</w:t>
            </w:r>
          </w:p>
        </w:tc>
      </w:tr>
      <w:tr w:rsidR="002D3147" w:rsidRPr="006E0441" w:rsidTr="00472D69">
        <w:trPr>
          <w:cantSplit/>
          <w:trHeight w:val="288"/>
          <w:tblHeader/>
        </w:trPr>
        <w:tc>
          <w:tcPr>
            <w:tcW w:w="0" w:type="auto"/>
            <w:vMerge/>
            <w:shd w:val="clear" w:color="auto" w:fill="auto"/>
          </w:tcPr>
          <w:p w:rsidR="002D3147" w:rsidRPr="006E0441" w:rsidRDefault="002D3147" w:rsidP="00472D69">
            <w:pPr>
              <w:spacing w:line="240" w:lineRule="auto"/>
              <w:rPr>
                <w:rFonts w:cs="Arial"/>
                <w:b/>
                <w:sz w:val="16"/>
                <w:szCs w:val="16"/>
              </w:rPr>
            </w:pPr>
          </w:p>
        </w:tc>
        <w:tc>
          <w:tcPr>
            <w:tcW w:w="0" w:type="auto"/>
            <w:vMerge/>
            <w:shd w:val="clear" w:color="auto" w:fill="auto"/>
          </w:tcPr>
          <w:p w:rsidR="002D3147" w:rsidRPr="006E0441" w:rsidRDefault="002D3147" w:rsidP="00472D69">
            <w:pPr>
              <w:spacing w:line="240" w:lineRule="auto"/>
              <w:rPr>
                <w:rFonts w:cs="Arial"/>
                <w:b/>
                <w:sz w:val="16"/>
                <w:szCs w:val="16"/>
              </w:rPr>
            </w:pPr>
          </w:p>
        </w:tc>
        <w:tc>
          <w:tcPr>
            <w:tcW w:w="0" w:type="auto"/>
            <w:vMerge/>
            <w:shd w:val="clear" w:color="auto" w:fill="auto"/>
          </w:tcPr>
          <w:p w:rsidR="002D3147" w:rsidRPr="006E0441" w:rsidRDefault="002D3147" w:rsidP="00472D69">
            <w:pPr>
              <w:spacing w:line="240" w:lineRule="auto"/>
              <w:rPr>
                <w:rFonts w:cs="Arial"/>
                <w:b/>
                <w:sz w:val="16"/>
                <w:szCs w:val="16"/>
              </w:rPr>
            </w:pPr>
          </w:p>
        </w:tc>
        <w:tc>
          <w:tcPr>
            <w:tcW w:w="0" w:type="auto"/>
            <w:vMerge/>
            <w:shd w:val="clear" w:color="auto" w:fill="auto"/>
          </w:tcPr>
          <w:p w:rsidR="002D3147" w:rsidRPr="006E0441" w:rsidRDefault="002D3147" w:rsidP="00472D69">
            <w:pPr>
              <w:spacing w:line="240" w:lineRule="auto"/>
              <w:rPr>
                <w:rFonts w:cs="Arial"/>
                <w:b/>
                <w:sz w:val="16"/>
                <w:szCs w:val="16"/>
              </w:rPr>
            </w:pPr>
          </w:p>
        </w:tc>
        <w:tc>
          <w:tcPr>
            <w:tcW w:w="0" w:type="auto"/>
            <w:vMerge/>
            <w:shd w:val="clear" w:color="auto" w:fill="auto"/>
          </w:tcPr>
          <w:p w:rsidR="002D3147" w:rsidRPr="006E0441" w:rsidRDefault="002D3147" w:rsidP="00472D69">
            <w:pPr>
              <w:spacing w:line="240" w:lineRule="auto"/>
              <w:rPr>
                <w:rFonts w:cs="Arial"/>
                <w:b/>
                <w:sz w:val="16"/>
                <w:szCs w:val="16"/>
              </w:rPr>
            </w:pPr>
          </w:p>
        </w:tc>
        <w:tc>
          <w:tcPr>
            <w:tcW w:w="0" w:type="auto"/>
            <w:shd w:val="clear" w:color="auto" w:fill="auto"/>
          </w:tcPr>
          <w:p w:rsidR="002D3147" w:rsidRPr="006E0441" w:rsidRDefault="002D3147" w:rsidP="00472D69">
            <w:pPr>
              <w:spacing w:line="240" w:lineRule="auto"/>
              <w:rPr>
                <w:rFonts w:cs="Arial"/>
                <w:b/>
                <w:sz w:val="16"/>
                <w:szCs w:val="16"/>
              </w:rPr>
            </w:pPr>
            <w:r w:rsidRPr="006E0441">
              <w:rPr>
                <w:rFonts w:cs="Arial"/>
                <w:b/>
                <w:sz w:val="16"/>
                <w:szCs w:val="16"/>
              </w:rPr>
              <w:t>M</w:t>
            </w:r>
          </w:p>
        </w:tc>
        <w:tc>
          <w:tcPr>
            <w:tcW w:w="0" w:type="auto"/>
            <w:shd w:val="clear" w:color="auto" w:fill="auto"/>
          </w:tcPr>
          <w:p w:rsidR="002D3147" w:rsidRPr="006E0441" w:rsidRDefault="002D3147" w:rsidP="00472D69">
            <w:pPr>
              <w:spacing w:line="240" w:lineRule="auto"/>
              <w:rPr>
                <w:rFonts w:cs="Arial"/>
                <w:b/>
                <w:sz w:val="16"/>
                <w:szCs w:val="16"/>
              </w:rPr>
            </w:pPr>
            <w:r w:rsidRPr="006E0441">
              <w:rPr>
                <w:rFonts w:cs="Arial"/>
                <w:b/>
                <w:sz w:val="16"/>
                <w:szCs w:val="16"/>
              </w:rPr>
              <w:t>Ž</w:t>
            </w:r>
          </w:p>
        </w:tc>
        <w:tc>
          <w:tcPr>
            <w:tcW w:w="0" w:type="auto"/>
            <w:shd w:val="clear" w:color="auto" w:fill="auto"/>
          </w:tcPr>
          <w:p w:rsidR="002D3147" w:rsidRPr="006E0441" w:rsidRDefault="002D3147" w:rsidP="00472D69">
            <w:pPr>
              <w:spacing w:line="240" w:lineRule="auto"/>
              <w:rPr>
                <w:rFonts w:cs="Arial"/>
                <w:b/>
                <w:sz w:val="16"/>
                <w:szCs w:val="16"/>
              </w:rPr>
            </w:pPr>
            <w:r w:rsidRPr="006E0441">
              <w:rPr>
                <w:rFonts w:cs="Arial"/>
                <w:b/>
                <w:sz w:val="16"/>
                <w:szCs w:val="16"/>
              </w:rPr>
              <w:t>Skupaj</w:t>
            </w:r>
          </w:p>
        </w:tc>
        <w:tc>
          <w:tcPr>
            <w:tcW w:w="0" w:type="auto"/>
            <w:vMerge/>
            <w:shd w:val="clear" w:color="auto" w:fill="auto"/>
          </w:tcPr>
          <w:p w:rsidR="002D3147" w:rsidRPr="006E0441" w:rsidRDefault="002D3147" w:rsidP="00472D69">
            <w:pPr>
              <w:spacing w:line="240" w:lineRule="auto"/>
              <w:rPr>
                <w:rFonts w:cs="Arial"/>
                <w:sz w:val="16"/>
                <w:szCs w:val="16"/>
              </w:rPr>
            </w:pPr>
          </w:p>
        </w:tc>
        <w:tc>
          <w:tcPr>
            <w:tcW w:w="0" w:type="auto"/>
            <w:vMerge/>
            <w:shd w:val="clear" w:color="auto" w:fill="auto"/>
          </w:tcPr>
          <w:p w:rsidR="002D3147" w:rsidRPr="006E0441" w:rsidRDefault="002D3147" w:rsidP="00472D69">
            <w:pPr>
              <w:spacing w:line="240" w:lineRule="auto"/>
              <w:rPr>
                <w:rFonts w:cs="Arial"/>
                <w:sz w:val="16"/>
                <w:szCs w:val="16"/>
              </w:rPr>
            </w:pPr>
          </w:p>
        </w:tc>
      </w:tr>
      <w:tr w:rsidR="002D3147" w:rsidRPr="006E0441" w:rsidTr="00F96696">
        <w:trPr>
          <w:trHeight w:val="288"/>
        </w:trPr>
        <w:tc>
          <w:tcPr>
            <w:tcW w:w="0" w:type="auto"/>
            <w:shd w:val="clear" w:color="auto" w:fill="auto"/>
          </w:tcPr>
          <w:p w:rsidR="002D3147" w:rsidRPr="006E0441" w:rsidRDefault="002D3147" w:rsidP="002D3147">
            <w:pPr>
              <w:spacing w:after="0" w:line="240" w:lineRule="auto"/>
              <w:rPr>
                <w:rFonts w:cs="Arial"/>
                <w:sz w:val="12"/>
                <w:szCs w:val="12"/>
              </w:rPr>
            </w:pPr>
            <w:r w:rsidRPr="006E0441">
              <w:rPr>
                <w:rFonts w:cs="Arial"/>
                <w:sz w:val="12"/>
                <w:szCs w:val="12"/>
              </w:rPr>
              <w:t>9.22</w:t>
            </w:r>
          </w:p>
        </w:tc>
        <w:tc>
          <w:tcPr>
            <w:tcW w:w="0" w:type="auto"/>
            <w:shd w:val="clear" w:color="auto" w:fill="auto"/>
          </w:tcPr>
          <w:p w:rsidR="002D3147" w:rsidRPr="006E0441" w:rsidRDefault="002D3147" w:rsidP="002D3147">
            <w:pPr>
              <w:spacing w:after="0" w:line="240" w:lineRule="auto"/>
              <w:rPr>
                <w:rFonts w:cs="Arial"/>
                <w:sz w:val="12"/>
                <w:szCs w:val="12"/>
              </w:rPr>
            </w:pPr>
            <w:r w:rsidRPr="006E0441">
              <w:rPr>
                <w:rFonts w:cs="Arial"/>
                <w:sz w:val="12"/>
                <w:szCs w:val="12"/>
              </w:rPr>
              <w:t>Število vključenih oseb</w:t>
            </w:r>
          </w:p>
        </w:tc>
        <w:tc>
          <w:tcPr>
            <w:tcW w:w="0" w:type="auto"/>
            <w:shd w:val="clear" w:color="auto" w:fill="auto"/>
          </w:tcPr>
          <w:p w:rsidR="002D3147" w:rsidRPr="006E0441" w:rsidRDefault="002D3147" w:rsidP="002D3147">
            <w:pPr>
              <w:spacing w:after="0" w:line="240" w:lineRule="auto"/>
              <w:rPr>
                <w:rFonts w:cs="Arial"/>
                <w:sz w:val="12"/>
                <w:szCs w:val="12"/>
              </w:rPr>
            </w:pPr>
            <w:r w:rsidRPr="006E0441">
              <w:rPr>
                <w:rFonts w:cs="Arial"/>
                <w:sz w:val="12"/>
                <w:szCs w:val="12"/>
              </w:rPr>
              <w:t>število</w:t>
            </w:r>
          </w:p>
        </w:tc>
        <w:tc>
          <w:tcPr>
            <w:tcW w:w="0" w:type="auto"/>
            <w:shd w:val="clear" w:color="auto" w:fill="auto"/>
          </w:tcPr>
          <w:p w:rsidR="002D3147" w:rsidRPr="006E0441" w:rsidRDefault="002D3147" w:rsidP="002D3147">
            <w:pPr>
              <w:pStyle w:val="Text1"/>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ESS</w:t>
            </w:r>
          </w:p>
        </w:tc>
        <w:tc>
          <w:tcPr>
            <w:tcW w:w="0" w:type="auto"/>
            <w:shd w:val="clear" w:color="auto" w:fill="auto"/>
          </w:tcPr>
          <w:p w:rsidR="002D3147" w:rsidRPr="006E0441" w:rsidRDefault="002D3147" w:rsidP="002D3147">
            <w:pPr>
              <w:spacing w:after="0" w:line="240" w:lineRule="auto"/>
              <w:rPr>
                <w:rFonts w:cs="Arial"/>
                <w:sz w:val="12"/>
                <w:szCs w:val="12"/>
              </w:rPr>
            </w:pPr>
            <w:r w:rsidRPr="006E0441">
              <w:rPr>
                <w:rFonts w:cs="Arial"/>
                <w:sz w:val="12"/>
                <w:szCs w:val="12"/>
              </w:rPr>
              <w:t xml:space="preserve"> Manj razvite</w:t>
            </w:r>
          </w:p>
        </w:tc>
        <w:tc>
          <w:tcPr>
            <w:tcW w:w="0" w:type="auto"/>
            <w:shd w:val="clear" w:color="auto" w:fill="auto"/>
          </w:tcPr>
          <w:p w:rsidR="002D3147" w:rsidRPr="006E0441" w:rsidRDefault="002D3147" w:rsidP="002D3147">
            <w:pPr>
              <w:spacing w:after="0" w:line="240" w:lineRule="auto"/>
              <w:jc w:val="right"/>
              <w:rPr>
                <w:rFonts w:cs="Arial"/>
                <w:sz w:val="12"/>
                <w:szCs w:val="12"/>
              </w:rPr>
            </w:pPr>
          </w:p>
        </w:tc>
        <w:tc>
          <w:tcPr>
            <w:tcW w:w="0" w:type="auto"/>
            <w:shd w:val="clear" w:color="auto" w:fill="auto"/>
          </w:tcPr>
          <w:p w:rsidR="002D3147" w:rsidRPr="006E0441" w:rsidRDefault="002D3147" w:rsidP="002D3147">
            <w:pPr>
              <w:spacing w:after="0" w:line="240" w:lineRule="auto"/>
              <w:jc w:val="right"/>
              <w:rPr>
                <w:rFonts w:cs="Arial"/>
                <w:sz w:val="12"/>
                <w:szCs w:val="12"/>
              </w:rPr>
            </w:pPr>
          </w:p>
        </w:tc>
        <w:tc>
          <w:tcPr>
            <w:tcW w:w="0" w:type="auto"/>
            <w:shd w:val="clear" w:color="auto" w:fill="auto"/>
          </w:tcPr>
          <w:p w:rsidR="002D3147" w:rsidRPr="006E0441" w:rsidRDefault="002D3147" w:rsidP="002D3147">
            <w:pPr>
              <w:spacing w:after="0" w:line="240" w:lineRule="auto"/>
              <w:jc w:val="right"/>
              <w:rPr>
                <w:rFonts w:cs="Arial"/>
                <w:sz w:val="12"/>
                <w:szCs w:val="12"/>
              </w:rPr>
            </w:pPr>
            <w:r w:rsidRPr="006E0441">
              <w:rPr>
                <w:rFonts w:cs="Arial"/>
                <w:sz w:val="12"/>
                <w:szCs w:val="12"/>
              </w:rPr>
              <w:t>550,00</w:t>
            </w:r>
          </w:p>
        </w:tc>
        <w:tc>
          <w:tcPr>
            <w:tcW w:w="0" w:type="auto"/>
            <w:shd w:val="clear" w:color="auto" w:fill="auto"/>
          </w:tcPr>
          <w:p w:rsidR="002D3147" w:rsidRPr="006E0441" w:rsidRDefault="002D3147" w:rsidP="002D3147">
            <w:pPr>
              <w:spacing w:after="0" w:line="240" w:lineRule="auto"/>
              <w:rPr>
                <w:rFonts w:cs="Arial"/>
                <w:sz w:val="12"/>
                <w:szCs w:val="12"/>
              </w:rPr>
            </w:pPr>
            <w:r w:rsidRPr="006E0441">
              <w:rPr>
                <w:rFonts w:cs="Arial"/>
                <w:sz w:val="12"/>
                <w:szCs w:val="12"/>
              </w:rPr>
              <w:t>Spremljanje</w:t>
            </w:r>
          </w:p>
        </w:tc>
        <w:tc>
          <w:tcPr>
            <w:tcW w:w="0" w:type="auto"/>
            <w:shd w:val="clear" w:color="auto" w:fill="auto"/>
          </w:tcPr>
          <w:p w:rsidR="002D3147" w:rsidRPr="006E0441" w:rsidRDefault="002D3147" w:rsidP="002D3147">
            <w:pPr>
              <w:pStyle w:val="Text2"/>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Letno</w:t>
            </w:r>
          </w:p>
        </w:tc>
      </w:tr>
      <w:tr w:rsidR="002D3147" w:rsidRPr="006E0441" w:rsidTr="00472D69">
        <w:trPr>
          <w:trHeight w:val="288"/>
        </w:trPr>
        <w:tc>
          <w:tcPr>
            <w:tcW w:w="0" w:type="auto"/>
            <w:shd w:val="clear" w:color="auto" w:fill="auto"/>
          </w:tcPr>
          <w:p w:rsidR="002D3147" w:rsidRPr="006E0441" w:rsidRDefault="002D3147" w:rsidP="002D3147">
            <w:pPr>
              <w:spacing w:after="0" w:line="240" w:lineRule="auto"/>
              <w:rPr>
                <w:rFonts w:cs="Arial"/>
                <w:sz w:val="12"/>
                <w:szCs w:val="12"/>
              </w:rPr>
            </w:pPr>
            <w:r w:rsidRPr="006E0441">
              <w:rPr>
                <w:rFonts w:cs="Arial"/>
                <w:sz w:val="12"/>
                <w:szCs w:val="12"/>
              </w:rPr>
              <w:t>9.22</w:t>
            </w:r>
          </w:p>
        </w:tc>
        <w:tc>
          <w:tcPr>
            <w:tcW w:w="0" w:type="auto"/>
            <w:shd w:val="clear" w:color="auto" w:fill="auto"/>
          </w:tcPr>
          <w:p w:rsidR="002D3147" w:rsidRPr="006E0441" w:rsidRDefault="002D3147" w:rsidP="002D3147">
            <w:pPr>
              <w:spacing w:after="0" w:line="240" w:lineRule="auto"/>
              <w:rPr>
                <w:rFonts w:cs="Arial"/>
                <w:sz w:val="16"/>
                <w:szCs w:val="16"/>
              </w:rPr>
            </w:pPr>
            <w:r w:rsidRPr="006E0441">
              <w:rPr>
                <w:rFonts w:cs="Arial"/>
                <w:sz w:val="12"/>
                <w:szCs w:val="12"/>
              </w:rPr>
              <w:t>Število vključenih oseb</w:t>
            </w:r>
          </w:p>
        </w:tc>
        <w:tc>
          <w:tcPr>
            <w:tcW w:w="0" w:type="auto"/>
            <w:shd w:val="clear" w:color="auto" w:fill="auto"/>
          </w:tcPr>
          <w:p w:rsidR="002D3147" w:rsidRPr="006E0441" w:rsidRDefault="002D3147" w:rsidP="002D3147">
            <w:pPr>
              <w:spacing w:after="0" w:line="240" w:lineRule="auto"/>
              <w:rPr>
                <w:rFonts w:cs="Arial"/>
                <w:sz w:val="12"/>
                <w:szCs w:val="12"/>
              </w:rPr>
            </w:pPr>
            <w:r w:rsidRPr="006E0441">
              <w:rPr>
                <w:rFonts w:cs="Arial"/>
                <w:sz w:val="12"/>
                <w:szCs w:val="12"/>
              </w:rPr>
              <w:t>število</w:t>
            </w:r>
          </w:p>
        </w:tc>
        <w:tc>
          <w:tcPr>
            <w:tcW w:w="0" w:type="auto"/>
            <w:shd w:val="clear" w:color="auto" w:fill="auto"/>
          </w:tcPr>
          <w:p w:rsidR="002D3147" w:rsidRPr="006E0441" w:rsidRDefault="002D3147" w:rsidP="002D3147">
            <w:pPr>
              <w:pStyle w:val="Text1"/>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ESS</w:t>
            </w:r>
          </w:p>
        </w:tc>
        <w:tc>
          <w:tcPr>
            <w:tcW w:w="0" w:type="auto"/>
            <w:shd w:val="clear" w:color="auto" w:fill="auto"/>
          </w:tcPr>
          <w:p w:rsidR="002D3147" w:rsidRPr="006E0441" w:rsidRDefault="002D3147" w:rsidP="002D3147">
            <w:pPr>
              <w:spacing w:after="0" w:line="240" w:lineRule="auto"/>
              <w:rPr>
                <w:rFonts w:cs="Arial"/>
                <w:sz w:val="12"/>
                <w:szCs w:val="12"/>
              </w:rPr>
            </w:pPr>
            <w:r w:rsidRPr="006E0441">
              <w:rPr>
                <w:rFonts w:cs="Arial"/>
                <w:sz w:val="12"/>
                <w:szCs w:val="12"/>
              </w:rPr>
              <w:t xml:space="preserve"> Bolj razvite</w:t>
            </w:r>
          </w:p>
        </w:tc>
        <w:tc>
          <w:tcPr>
            <w:tcW w:w="0" w:type="auto"/>
            <w:shd w:val="clear" w:color="auto" w:fill="auto"/>
          </w:tcPr>
          <w:p w:rsidR="002D3147" w:rsidRPr="006E0441" w:rsidRDefault="002D3147" w:rsidP="002D3147">
            <w:pPr>
              <w:spacing w:after="0" w:line="240" w:lineRule="auto"/>
              <w:jc w:val="right"/>
              <w:rPr>
                <w:rFonts w:cs="Arial"/>
                <w:sz w:val="12"/>
                <w:szCs w:val="12"/>
              </w:rPr>
            </w:pPr>
          </w:p>
        </w:tc>
        <w:tc>
          <w:tcPr>
            <w:tcW w:w="0" w:type="auto"/>
            <w:shd w:val="clear" w:color="auto" w:fill="auto"/>
          </w:tcPr>
          <w:p w:rsidR="002D3147" w:rsidRPr="006E0441" w:rsidRDefault="002D3147" w:rsidP="002D3147">
            <w:pPr>
              <w:spacing w:after="0" w:line="240" w:lineRule="auto"/>
              <w:jc w:val="right"/>
              <w:rPr>
                <w:rFonts w:cs="Arial"/>
                <w:sz w:val="12"/>
                <w:szCs w:val="12"/>
              </w:rPr>
            </w:pPr>
          </w:p>
        </w:tc>
        <w:tc>
          <w:tcPr>
            <w:tcW w:w="0" w:type="auto"/>
            <w:shd w:val="clear" w:color="auto" w:fill="auto"/>
          </w:tcPr>
          <w:p w:rsidR="002D3147" w:rsidRPr="006E0441" w:rsidRDefault="002D3147" w:rsidP="002D3147">
            <w:pPr>
              <w:spacing w:after="0" w:line="240" w:lineRule="auto"/>
              <w:jc w:val="right"/>
              <w:rPr>
                <w:rFonts w:cs="Arial"/>
                <w:sz w:val="12"/>
                <w:szCs w:val="12"/>
              </w:rPr>
            </w:pPr>
            <w:r w:rsidRPr="006E0441">
              <w:rPr>
                <w:rFonts w:cs="Arial"/>
                <w:sz w:val="12"/>
                <w:szCs w:val="12"/>
              </w:rPr>
              <w:t>450,00</w:t>
            </w:r>
          </w:p>
        </w:tc>
        <w:tc>
          <w:tcPr>
            <w:tcW w:w="0" w:type="auto"/>
            <w:shd w:val="clear" w:color="auto" w:fill="auto"/>
          </w:tcPr>
          <w:p w:rsidR="002D3147" w:rsidRPr="006E0441" w:rsidRDefault="002D3147" w:rsidP="002D3147">
            <w:pPr>
              <w:spacing w:after="0" w:line="240" w:lineRule="auto"/>
              <w:rPr>
                <w:rFonts w:cs="Arial"/>
                <w:sz w:val="12"/>
                <w:szCs w:val="12"/>
              </w:rPr>
            </w:pPr>
            <w:r w:rsidRPr="006E0441">
              <w:rPr>
                <w:rFonts w:cs="Arial"/>
                <w:sz w:val="12"/>
                <w:szCs w:val="12"/>
              </w:rPr>
              <w:t>Spremljanje</w:t>
            </w:r>
          </w:p>
        </w:tc>
        <w:tc>
          <w:tcPr>
            <w:tcW w:w="0" w:type="auto"/>
            <w:shd w:val="clear" w:color="auto" w:fill="auto"/>
          </w:tcPr>
          <w:p w:rsidR="002D3147" w:rsidRPr="006E0441" w:rsidRDefault="002D3147" w:rsidP="002D3147">
            <w:pPr>
              <w:pStyle w:val="Text2"/>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Letno</w:t>
            </w:r>
          </w:p>
        </w:tc>
      </w:tr>
      <w:bookmarkEnd w:id="16"/>
    </w:tbl>
    <w:p w:rsidR="00CA4F1C" w:rsidRPr="006E0441" w:rsidRDefault="00CA4F1C" w:rsidP="00F96696">
      <w:pPr>
        <w:jc w:val="both"/>
        <w:rPr>
          <w:noProof/>
        </w:rPr>
      </w:pPr>
    </w:p>
    <w:p w:rsidR="002D3147" w:rsidRPr="006E0441" w:rsidRDefault="002D3147">
      <w:pPr>
        <w:rPr>
          <w:b/>
          <w:noProof/>
        </w:rPr>
      </w:pPr>
      <w:r w:rsidRPr="006E0441">
        <w:rPr>
          <w:b/>
          <w:noProof/>
        </w:rPr>
        <w:t>Predlog OP 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918"/>
        <w:gridCol w:w="956"/>
        <w:gridCol w:w="637"/>
        <w:gridCol w:w="1686"/>
        <w:gridCol w:w="418"/>
        <w:gridCol w:w="344"/>
        <w:gridCol w:w="775"/>
        <w:gridCol w:w="1029"/>
        <w:gridCol w:w="1249"/>
      </w:tblGrid>
      <w:tr w:rsidR="002D3147" w:rsidRPr="006E0441" w:rsidTr="00472D69">
        <w:trPr>
          <w:cantSplit/>
          <w:trHeight w:val="288"/>
          <w:tblHeader/>
        </w:trPr>
        <w:tc>
          <w:tcPr>
            <w:tcW w:w="0" w:type="auto"/>
            <w:gridSpan w:val="2"/>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Prednostna naložba</w:t>
            </w:r>
          </w:p>
        </w:tc>
        <w:tc>
          <w:tcPr>
            <w:tcW w:w="0" w:type="auto"/>
            <w:gridSpan w:val="8"/>
            <w:shd w:val="clear" w:color="auto" w:fill="auto"/>
          </w:tcPr>
          <w:p w:rsidR="002D3147" w:rsidRPr="006E0441" w:rsidRDefault="002D3147" w:rsidP="00472D69">
            <w:pPr>
              <w:spacing w:after="0" w:line="240" w:lineRule="auto"/>
              <w:rPr>
                <w:rFonts w:cs="Arial"/>
                <w:b/>
                <w:sz w:val="16"/>
                <w:szCs w:val="16"/>
              </w:rPr>
            </w:pPr>
            <w:r w:rsidRPr="006E0441">
              <w:rPr>
                <w:b/>
                <w:noProof/>
                <w:color w:val="000000"/>
                <w:sz w:val="16"/>
                <w:szCs w:val="16"/>
              </w:rPr>
              <w:t>9v - Spodbujanje socialnega podjetništva in poklicnega vključevanja v socialna podjetja ter socialnega in solidarnega gospodarstva, da bi vsem olajšali dostop do zaposlitve</w:t>
            </w:r>
          </w:p>
        </w:tc>
      </w:tr>
      <w:tr w:rsidR="002D3147" w:rsidRPr="006E0441" w:rsidTr="00472D69">
        <w:trPr>
          <w:cantSplit/>
          <w:trHeight w:val="288"/>
          <w:tblHeader/>
        </w:trPr>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Identifikator</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Kazalnik</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Merska enota</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Sklad</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Kategorija regije (če je relevantno)</w:t>
            </w:r>
          </w:p>
        </w:tc>
        <w:tc>
          <w:tcPr>
            <w:tcW w:w="0" w:type="auto"/>
            <w:gridSpan w:val="3"/>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Ciljna vrednost (za leto 2023)</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Vir podatkov</w:t>
            </w:r>
          </w:p>
        </w:tc>
        <w:tc>
          <w:tcPr>
            <w:tcW w:w="0" w:type="auto"/>
            <w:vMerge w:val="restart"/>
            <w:shd w:val="clear" w:color="auto" w:fill="auto"/>
          </w:tcPr>
          <w:p w:rsidR="002D3147" w:rsidRPr="006E0441" w:rsidRDefault="002D3147" w:rsidP="00472D69">
            <w:pPr>
              <w:spacing w:after="0" w:line="240" w:lineRule="auto"/>
              <w:rPr>
                <w:rFonts w:cs="Arial"/>
                <w:b/>
                <w:sz w:val="16"/>
                <w:szCs w:val="16"/>
              </w:rPr>
            </w:pPr>
            <w:r w:rsidRPr="006E0441">
              <w:rPr>
                <w:rFonts w:cs="Arial"/>
                <w:b/>
                <w:sz w:val="16"/>
                <w:szCs w:val="16"/>
              </w:rPr>
              <w:t>Pogostost poročanja</w:t>
            </w:r>
          </w:p>
        </w:tc>
      </w:tr>
      <w:tr w:rsidR="002D3147" w:rsidRPr="006E0441" w:rsidTr="00472D69">
        <w:trPr>
          <w:cantSplit/>
          <w:trHeight w:val="288"/>
          <w:tblHeader/>
        </w:trPr>
        <w:tc>
          <w:tcPr>
            <w:tcW w:w="0" w:type="auto"/>
            <w:vMerge/>
            <w:shd w:val="clear" w:color="auto" w:fill="auto"/>
          </w:tcPr>
          <w:p w:rsidR="002D3147" w:rsidRPr="006E0441" w:rsidRDefault="002D3147" w:rsidP="00472D69">
            <w:pPr>
              <w:spacing w:line="240" w:lineRule="auto"/>
              <w:rPr>
                <w:rFonts w:cs="Arial"/>
                <w:b/>
                <w:sz w:val="16"/>
                <w:szCs w:val="16"/>
              </w:rPr>
            </w:pPr>
          </w:p>
        </w:tc>
        <w:tc>
          <w:tcPr>
            <w:tcW w:w="0" w:type="auto"/>
            <w:vMerge/>
            <w:shd w:val="clear" w:color="auto" w:fill="auto"/>
          </w:tcPr>
          <w:p w:rsidR="002D3147" w:rsidRPr="006E0441" w:rsidRDefault="002D3147" w:rsidP="00472D69">
            <w:pPr>
              <w:spacing w:line="240" w:lineRule="auto"/>
              <w:rPr>
                <w:rFonts w:cs="Arial"/>
                <w:b/>
                <w:sz w:val="16"/>
                <w:szCs w:val="16"/>
              </w:rPr>
            </w:pPr>
          </w:p>
        </w:tc>
        <w:tc>
          <w:tcPr>
            <w:tcW w:w="0" w:type="auto"/>
            <w:vMerge/>
            <w:shd w:val="clear" w:color="auto" w:fill="auto"/>
          </w:tcPr>
          <w:p w:rsidR="002D3147" w:rsidRPr="006E0441" w:rsidRDefault="002D3147" w:rsidP="00472D69">
            <w:pPr>
              <w:spacing w:line="240" w:lineRule="auto"/>
              <w:rPr>
                <w:rFonts w:cs="Arial"/>
                <w:b/>
                <w:sz w:val="16"/>
                <w:szCs w:val="16"/>
              </w:rPr>
            </w:pPr>
          </w:p>
        </w:tc>
        <w:tc>
          <w:tcPr>
            <w:tcW w:w="0" w:type="auto"/>
            <w:vMerge/>
            <w:shd w:val="clear" w:color="auto" w:fill="auto"/>
          </w:tcPr>
          <w:p w:rsidR="002D3147" w:rsidRPr="006E0441" w:rsidRDefault="002D3147" w:rsidP="00472D69">
            <w:pPr>
              <w:spacing w:line="240" w:lineRule="auto"/>
              <w:rPr>
                <w:rFonts w:cs="Arial"/>
                <w:b/>
                <w:sz w:val="16"/>
                <w:szCs w:val="16"/>
              </w:rPr>
            </w:pPr>
          </w:p>
        </w:tc>
        <w:tc>
          <w:tcPr>
            <w:tcW w:w="0" w:type="auto"/>
            <w:vMerge/>
            <w:shd w:val="clear" w:color="auto" w:fill="auto"/>
          </w:tcPr>
          <w:p w:rsidR="002D3147" w:rsidRPr="006E0441" w:rsidRDefault="002D3147" w:rsidP="00472D69">
            <w:pPr>
              <w:spacing w:line="240" w:lineRule="auto"/>
              <w:rPr>
                <w:rFonts w:cs="Arial"/>
                <w:b/>
                <w:sz w:val="16"/>
                <w:szCs w:val="16"/>
              </w:rPr>
            </w:pPr>
          </w:p>
        </w:tc>
        <w:tc>
          <w:tcPr>
            <w:tcW w:w="0" w:type="auto"/>
            <w:shd w:val="clear" w:color="auto" w:fill="auto"/>
          </w:tcPr>
          <w:p w:rsidR="002D3147" w:rsidRPr="006E0441" w:rsidRDefault="002D3147" w:rsidP="00472D69">
            <w:pPr>
              <w:spacing w:line="240" w:lineRule="auto"/>
              <w:rPr>
                <w:rFonts w:cs="Arial"/>
                <w:b/>
                <w:sz w:val="16"/>
                <w:szCs w:val="16"/>
              </w:rPr>
            </w:pPr>
            <w:r w:rsidRPr="006E0441">
              <w:rPr>
                <w:rFonts w:cs="Arial"/>
                <w:b/>
                <w:sz w:val="16"/>
                <w:szCs w:val="16"/>
              </w:rPr>
              <w:t>M</w:t>
            </w:r>
          </w:p>
        </w:tc>
        <w:tc>
          <w:tcPr>
            <w:tcW w:w="0" w:type="auto"/>
            <w:shd w:val="clear" w:color="auto" w:fill="auto"/>
          </w:tcPr>
          <w:p w:rsidR="002D3147" w:rsidRPr="006E0441" w:rsidRDefault="002D3147" w:rsidP="00472D69">
            <w:pPr>
              <w:spacing w:line="240" w:lineRule="auto"/>
              <w:rPr>
                <w:rFonts w:cs="Arial"/>
                <w:b/>
                <w:sz w:val="16"/>
                <w:szCs w:val="16"/>
              </w:rPr>
            </w:pPr>
            <w:r w:rsidRPr="006E0441">
              <w:rPr>
                <w:rFonts w:cs="Arial"/>
                <w:b/>
                <w:sz w:val="16"/>
                <w:szCs w:val="16"/>
              </w:rPr>
              <w:t>Ž</w:t>
            </w:r>
          </w:p>
        </w:tc>
        <w:tc>
          <w:tcPr>
            <w:tcW w:w="0" w:type="auto"/>
            <w:shd w:val="clear" w:color="auto" w:fill="auto"/>
          </w:tcPr>
          <w:p w:rsidR="002D3147" w:rsidRPr="006E0441" w:rsidRDefault="002D3147" w:rsidP="00472D69">
            <w:pPr>
              <w:spacing w:line="240" w:lineRule="auto"/>
              <w:rPr>
                <w:rFonts w:cs="Arial"/>
                <w:b/>
                <w:sz w:val="16"/>
                <w:szCs w:val="16"/>
              </w:rPr>
            </w:pPr>
            <w:r w:rsidRPr="006E0441">
              <w:rPr>
                <w:rFonts w:cs="Arial"/>
                <w:b/>
                <w:sz w:val="16"/>
                <w:szCs w:val="16"/>
              </w:rPr>
              <w:t>Skupaj</w:t>
            </w:r>
          </w:p>
        </w:tc>
        <w:tc>
          <w:tcPr>
            <w:tcW w:w="0" w:type="auto"/>
            <w:vMerge/>
            <w:shd w:val="clear" w:color="auto" w:fill="auto"/>
          </w:tcPr>
          <w:p w:rsidR="002D3147" w:rsidRPr="006E0441" w:rsidRDefault="002D3147" w:rsidP="00472D69">
            <w:pPr>
              <w:spacing w:line="240" w:lineRule="auto"/>
              <w:rPr>
                <w:rFonts w:cs="Arial"/>
                <w:sz w:val="16"/>
                <w:szCs w:val="16"/>
              </w:rPr>
            </w:pPr>
          </w:p>
        </w:tc>
        <w:tc>
          <w:tcPr>
            <w:tcW w:w="0" w:type="auto"/>
            <w:vMerge/>
            <w:shd w:val="clear" w:color="auto" w:fill="auto"/>
          </w:tcPr>
          <w:p w:rsidR="002D3147" w:rsidRPr="006E0441" w:rsidRDefault="002D3147" w:rsidP="00472D69">
            <w:pPr>
              <w:spacing w:line="240" w:lineRule="auto"/>
              <w:rPr>
                <w:rFonts w:cs="Arial"/>
                <w:sz w:val="16"/>
                <w:szCs w:val="16"/>
              </w:rPr>
            </w:pPr>
          </w:p>
        </w:tc>
      </w:tr>
      <w:tr w:rsidR="002D3147" w:rsidRPr="006E0441" w:rsidTr="00472D69">
        <w:trPr>
          <w:trHeight w:val="288"/>
        </w:trPr>
        <w:tc>
          <w:tcPr>
            <w:tcW w:w="0" w:type="auto"/>
            <w:shd w:val="clear" w:color="auto" w:fill="auto"/>
          </w:tcPr>
          <w:p w:rsidR="002D3147" w:rsidRPr="006E0441" w:rsidRDefault="002D3147" w:rsidP="00472D69">
            <w:pPr>
              <w:spacing w:after="0" w:line="240" w:lineRule="auto"/>
              <w:rPr>
                <w:rFonts w:cs="Arial"/>
                <w:sz w:val="12"/>
                <w:szCs w:val="12"/>
              </w:rPr>
            </w:pPr>
            <w:r w:rsidRPr="006E0441">
              <w:rPr>
                <w:rFonts w:cs="Arial"/>
                <w:sz w:val="12"/>
                <w:szCs w:val="12"/>
              </w:rPr>
              <w:t>9.22</w:t>
            </w:r>
          </w:p>
        </w:tc>
        <w:tc>
          <w:tcPr>
            <w:tcW w:w="0" w:type="auto"/>
            <w:shd w:val="clear" w:color="auto" w:fill="auto"/>
          </w:tcPr>
          <w:p w:rsidR="002D3147" w:rsidRPr="006E0441" w:rsidRDefault="002D3147" w:rsidP="00472D69">
            <w:pPr>
              <w:spacing w:after="0" w:line="240" w:lineRule="auto"/>
              <w:rPr>
                <w:rFonts w:cs="Arial"/>
                <w:sz w:val="12"/>
                <w:szCs w:val="12"/>
              </w:rPr>
            </w:pPr>
            <w:r w:rsidRPr="006E0441">
              <w:rPr>
                <w:rFonts w:cs="Arial"/>
                <w:sz w:val="12"/>
                <w:szCs w:val="12"/>
              </w:rPr>
              <w:t>Število vključenih oseb</w:t>
            </w:r>
          </w:p>
        </w:tc>
        <w:tc>
          <w:tcPr>
            <w:tcW w:w="0" w:type="auto"/>
            <w:shd w:val="clear" w:color="auto" w:fill="auto"/>
          </w:tcPr>
          <w:p w:rsidR="002D3147" w:rsidRPr="006E0441" w:rsidRDefault="002D3147" w:rsidP="00472D69">
            <w:pPr>
              <w:spacing w:after="0" w:line="240" w:lineRule="auto"/>
              <w:rPr>
                <w:rFonts w:cs="Arial"/>
                <w:sz w:val="12"/>
                <w:szCs w:val="12"/>
              </w:rPr>
            </w:pPr>
            <w:r w:rsidRPr="006E0441">
              <w:rPr>
                <w:rFonts w:cs="Arial"/>
                <w:sz w:val="12"/>
                <w:szCs w:val="12"/>
              </w:rPr>
              <w:t>število</w:t>
            </w:r>
          </w:p>
        </w:tc>
        <w:tc>
          <w:tcPr>
            <w:tcW w:w="0" w:type="auto"/>
            <w:shd w:val="clear" w:color="auto" w:fill="auto"/>
          </w:tcPr>
          <w:p w:rsidR="002D3147" w:rsidRPr="006E0441" w:rsidRDefault="002D3147" w:rsidP="00472D69">
            <w:pPr>
              <w:pStyle w:val="Text1"/>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ESS</w:t>
            </w:r>
          </w:p>
        </w:tc>
        <w:tc>
          <w:tcPr>
            <w:tcW w:w="0" w:type="auto"/>
            <w:shd w:val="clear" w:color="auto" w:fill="auto"/>
          </w:tcPr>
          <w:p w:rsidR="002D3147" w:rsidRPr="006E0441" w:rsidRDefault="002D3147" w:rsidP="00472D69">
            <w:pPr>
              <w:spacing w:after="0" w:line="240" w:lineRule="auto"/>
              <w:rPr>
                <w:rFonts w:cs="Arial"/>
                <w:sz w:val="12"/>
                <w:szCs w:val="12"/>
              </w:rPr>
            </w:pPr>
            <w:r w:rsidRPr="006E0441">
              <w:rPr>
                <w:rFonts w:cs="Arial"/>
                <w:sz w:val="12"/>
                <w:szCs w:val="12"/>
              </w:rPr>
              <w:t xml:space="preserve"> Manj razvite</w:t>
            </w:r>
          </w:p>
        </w:tc>
        <w:tc>
          <w:tcPr>
            <w:tcW w:w="0" w:type="auto"/>
            <w:shd w:val="clear" w:color="auto" w:fill="auto"/>
          </w:tcPr>
          <w:p w:rsidR="002D3147" w:rsidRPr="006E0441" w:rsidRDefault="002D3147" w:rsidP="00472D69">
            <w:pPr>
              <w:spacing w:after="0" w:line="240" w:lineRule="auto"/>
              <w:jc w:val="right"/>
              <w:rPr>
                <w:rFonts w:cs="Arial"/>
                <w:sz w:val="12"/>
                <w:szCs w:val="12"/>
              </w:rPr>
            </w:pPr>
          </w:p>
        </w:tc>
        <w:tc>
          <w:tcPr>
            <w:tcW w:w="0" w:type="auto"/>
            <w:shd w:val="clear" w:color="auto" w:fill="auto"/>
          </w:tcPr>
          <w:p w:rsidR="002D3147" w:rsidRPr="006E0441" w:rsidRDefault="002D3147" w:rsidP="00472D69">
            <w:pPr>
              <w:spacing w:after="0" w:line="240" w:lineRule="auto"/>
              <w:jc w:val="right"/>
              <w:rPr>
                <w:rFonts w:cs="Arial"/>
                <w:sz w:val="12"/>
                <w:szCs w:val="12"/>
              </w:rPr>
            </w:pPr>
          </w:p>
        </w:tc>
        <w:tc>
          <w:tcPr>
            <w:tcW w:w="0" w:type="auto"/>
            <w:shd w:val="clear" w:color="auto" w:fill="auto"/>
          </w:tcPr>
          <w:p w:rsidR="002D3147" w:rsidRPr="006E0441" w:rsidRDefault="002D3147" w:rsidP="00472D69">
            <w:pPr>
              <w:spacing w:after="0" w:line="240" w:lineRule="auto"/>
              <w:jc w:val="right"/>
              <w:rPr>
                <w:rFonts w:cs="Arial"/>
                <w:sz w:val="12"/>
                <w:szCs w:val="12"/>
              </w:rPr>
            </w:pPr>
            <w:r w:rsidRPr="006E0441">
              <w:rPr>
                <w:rFonts w:cs="Arial"/>
                <w:sz w:val="12"/>
                <w:szCs w:val="12"/>
              </w:rPr>
              <w:t>700,00</w:t>
            </w:r>
          </w:p>
        </w:tc>
        <w:tc>
          <w:tcPr>
            <w:tcW w:w="0" w:type="auto"/>
            <w:shd w:val="clear" w:color="auto" w:fill="auto"/>
          </w:tcPr>
          <w:p w:rsidR="002D3147" w:rsidRPr="006E0441" w:rsidRDefault="002D3147" w:rsidP="00472D69">
            <w:pPr>
              <w:spacing w:after="0" w:line="240" w:lineRule="auto"/>
              <w:rPr>
                <w:rFonts w:cs="Arial"/>
                <w:sz w:val="12"/>
                <w:szCs w:val="12"/>
              </w:rPr>
            </w:pPr>
            <w:r w:rsidRPr="006E0441">
              <w:rPr>
                <w:rFonts w:cs="Arial"/>
                <w:sz w:val="12"/>
                <w:szCs w:val="12"/>
              </w:rPr>
              <w:t>Spremljanje</w:t>
            </w:r>
          </w:p>
        </w:tc>
        <w:tc>
          <w:tcPr>
            <w:tcW w:w="0" w:type="auto"/>
            <w:shd w:val="clear" w:color="auto" w:fill="auto"/>
          </w:tcPr>
          <w:p w:rsidR="002D3147" w:rsidRPr="006E0441" w:rsidRDefault="002D3147" w:rsidP="00472D69">
            <w:pPr>
              <w:pStyle w:val="Text2"/>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Letno</w:t>
            </w:r>
          </w:p>
        </w:tc>
      </w:tr>
      <w:tr w:rsidR="002D3147" w:rsidRPr="006E0441" w:rsidTr="00472D69">
        <w:trPr>
          <w:trHeight w:val="288"/>
        </w:trPr>
        <w:tc>
          <w:tcPr>
            <w:tcW w:w="0" w:type="auto"/>
            <w:shd w:val="clear" w:color="auto" w:fill="auto"/>
          </w:tcPr>
          <w:p w:rsidR="002D3147" w:rsidRPr="006E0441" w:rsidRDefault="002D3147" w:rsidP="00472D69">
            <w:pPr>
              <w:spacing w:after="0" w:line="240" w:lineRule="auto"/>
              <w:rPr>
                <w:rFonts w:cs="Arial"/>
                <w:sz w:val="12"/>
                <w:szCs w:val="12"/>
              </w:rPr>
            </w:pPr>
            <w:r w:rsidRPr="006E0441">
              <w:rPr>
                <w:rFonts w:cs="Arial"/>
                <w:sz w:val="12"/>
                <w:szCs w:val="12"/>
              </w:rPr>
              <w:lastRenderedPageBreak/>
              <w:t>9.22</w:t>
            </w:r>
          </w:p>
        </w:tc>
        <w:tc>
          <w:tcPr>
            <w:tcW w:w="0" w:type="auto"/>
            <w:shd w:val="clear" w:color="auto" w:fill="auto"/>
          </w:tcPr>
          <w:p w:rsidR="002D3147" w:rsidRPr="006E0441" w:rsidRDefault="002D3147" w:rsidP="00472D69">
            <w:pPr>
              <w:spacing w:after="0" w:line="240" w:lineRule="auto"/>
              <w:rPr>
                <w:rFonts w:cs="Arial"/>
                <w:sz w:val="16"/>
                <w:szCs w:val="16"/>
              </w:rPr>
            </w:pPr>
            <w:r w:rsidRPr="006E0441">
              <w:rPr>
                <w:rFonts w:cs="Arial"/>
                <w:sz w:val="12"/>
                <w:szCs w:val="12"/>
              </w:rPr>
              <w:t>Število vključenih oseb</w:t>
            </w:r>
          </w:p>
        </w:tc>
        <w:tc>
          <w:tcPr>
            <w:tcW w:w="0" w:type="auto"/>
            <w:shd w:val="clear" w:color="auto" w:fill="auto"/>
          </w:tcPr>
          <w:p w:rsidR="002D3147" w:rsidRPr="006E0441" w:rsidRDefault="002D3147" w:rsidP="00472D69">
            <w:pPr>
              <w:spacing w:after="0" w:line="240" w:lineRule="auto"/>
              <w:rPr>
                <w:rFonts w:cs="Arial"/>
                <w:sz w:val="12"/>
                <w:szCs w:val="12"/>
              </w:rPr>
            </w:pPr>
            <w:r w:rsidRPr="006E0441">
              <w:rPr>
                <w:rFonts w:cs="Arial"/>
                <w:sz w:val="12"/>
                <w:szCs w:val="12"/>
              </w:rPr>
              <w:t>število</w:t>
            </w:r>
          </w:p>
        </w:tc>
        <w:tc>
          <w:tcPr>
            <w:tcW w:w="0" w:type="auto"/>
            <w:shd w:val="clear" w:color="auto" w:fill="auto"/>
          </w:tcPr>
          <w:p w:rsidR="002D3147" w:rsidRPr="006E0441" w:rsidRDefault="002D3147" w:rsidP="00472D69">
            <w:pPr>
              <w:pStyle w:val="Text1"/>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ESS</w:t>
            </w:r>
          </w:p>
        </w:tc>
        <w:tc>
          <w:tcPr>
            <w:tcW w:w="0" w:type="auto"/>
            <w:shd w:val="clear" w:color="auto" w:fill="auto"/>
          </w:tcPr>
          <w:p w:rsidR="002D3147" w:rsidRPr="006E0441" w:rsidRDefault="002D3147" w:rsidP="00472D69">
            <w:pPr>
              <w:spacing w:after="0" w:line="240" w:lineRule="auto"/>
              <w:rPr>
                <w:rFonts w:cs="Arial"/>
                <w:sz w:val="12"/>
                <w:szCs w:val="12"/>
              </w:rPr>
            </w:pPr>
            <w:r w:rsidRPr="006E0441">
              <w:rPr>
                <w:rFonts w:cs="Arial"/>
                <w:sz w:val="12"/>
                <w:szCs w:val="12"/>
              </w:rPr>
              <w:t xml:space="preserve"> Bolj razvite</w:t>
            </w:r>
          </w:p>
        </w:tc>
        <w:tc>
          <w:tcPr>
            <w:tcW w:w="0" w:type="auto"/>
            <w:shd w:val="clear" w:color="auto" w:fill="auto"/>
          </w:tcPr>
          <w:p w:rsidR="002D3147" w:rsidRPr="006E0441" w:rsidRDefault="002D3147" w:rsidP="00472D69">
            <w:pPr>
              <w:spacing w:after="0" w:line="240" w:lineRule="auto"/>
              <w:jc w:val="right"/>
              <w:rPr>
                <w:rFonts w:cs="Arial"/>
                <w:sz w:val="12"/>
                <w:szCs w:val="12"/>
              </w:rPr>
            </w:pPr>
          </w:p>
        </w:tc>
        <w:tc>
          <w:tcPr>
            <w:tcW w:w="0" w:type="auto"/>
            <w:shd w:val="clear" w:color="auto" w:fill="auto"/>
          </w:tcPr>
          <w:p w:rsidR="002D3147" w:rsidRPr="006E0441" w:rsidRDefault="002D3147" w:rsidP="00472D69">
            <w:pPr>
              <w:spacing w:after="0" w:line="240" w:lineRule="auto"/>
              <w:jc w:val="right"/>
              <w:rPr>
                <w:rFonts w:cs="Arial"/>
                <w:sz w:val="12"/>
                <w:szCs w:val="12"/>
              </w:rPr>
            </w:pPr>
          </w:p>
        </w:tc>
        <w:tc>
          <w:tcPr>
            <w:tcW w:w="0" w:type="auto"/>
            <w:shd w:val="clear" w:color="auto" w:fill="auto"/>
          </w:tcPr>
          <w:p w:rsidR="002D3147" w:rsidRPr="006E0441" w:rsidRDefault="002D3147" w:rsidP="00472D69">
            <w:pPr>
              <w:spacing w:after="0" w:line="240" w:lineRule="auto"/>
              <w:jc w:val="right"/>
              <w:rPr>
                <w:rFonts w:cs="Arial"/>
                <w:sz w:val="12"/>
                <w:szCs w:val="12"/>
              </w:rPr>
            </w:pPr>
            <w:r w:rsidRPr="006E0441">
              <w:rPr>
                <w:rFonts w:cs="Arial"/>
                <w:sz w:val="12"/>
                <w:szCs w:val="12"/>
              </w:rPr>
              <w:t>300,00</w:t>
            </w:r>
          </w:p>
        </w:tc>
        <w:tc>
          <w:tcPr>
            <w:tcW w:w="0" w:type="auto"/>
            <w:shd w:val="clear" w:color="auto" w:fill="auto"/>
          </w:tcPr>
          <w:p w:rsidR="002D3147" w:rsidRPr="006E0441" w:rsidRDefault="002D3147" w:rsidP="00472D69">
            <w:pPr>
              <w:spacing w:after="0" w:line="240" w:lineRule="auto"/>
              <w:rPr>
                <w:rFonts w:cs="Arial"/>
                <w:sz w:val="12"/>
                <w:szCs w:val="12"/>
              </w:rPr>
            </w:pPr>
            <w:r w:rsidRPr="006E0441">
              <w:rPr>
                <w:rFonts w:cs="Arial"/>
                <w:sz w:val="12"/>
                <w:szCs w:val="12"/>
              </w:rPr>
              <w:t>Spremljanje</w:t>
            </w:r>
          </w:p>
        </w:tc>
        <w:tc>
          <w:tcPr>
            <w:tcW w:w="0" w:type="auto"/>
            <w:shd w:val="clear" w:color="auto" w:fill="auto"/>
          </w:tcPr>
          <w:p w:rsidR="002D3147" w:rsidRPr="006E0441" w:rsidRDefault="002D3147" w:rsidP="00472D69">
            <w:pPr>
              <w:pStyle w:val="Text2"/>
              <w:spacing w:before="0" w:after="0"/>
              <w:ind w:left="0"/>
              <w:rPr>
                <w:rFonts w:asciiTheme="minorHAnsi" w:eastAsiaTheme="minorEastAsia" w:hAnsiTheme="minorHAnsi" w:cs="Arial"/>
                <w:sz w:val="12"/>
                <w:szCs w:val="12"/>
                <w:lang w:val="sl-SI"/>
              </w:rPr>
            </w:pPr>
            <w:r w:rsidRPr="006E0441">
              <w:rPr>
                <w:rFonts w:asciiTheme="minorHAnsi" w:eastAsiaTheme="minorEastAsia" w:hAnsiTheme="minorHAnsi" w:cs="Arial"/>
                <w:sz w:val="12"/>
                <w:szCs w:val="12"/>
                <w:lang w:val="sl-SI"/>
              </w:rPr>
              <w:t>Letno</w:t>
            </w:r>
          </w:p>
        </w:tc>
      </w:tr>
    </w:tbl>
    <w:p w:rsidR="002D3147" w:rsidRPr="006E0441" w:rsidRDefault="002D3147" w:rsidP="00F96696"/>
    <w:p w:rsidR="00C65266" w:rsidRPr="006E0441" w:rsidRDefault="00C65266">
      <w:pPr>
        <w:rPr>
          <w:rFonts w:asciiTheme="majorHAnsi" w:eastAsiaTheme="majorEastAsia" w:hAnsiTheme="majorHAnsi" w:cstheme="majorBidi"/>
          <w:b/>
          <w:sz w:val="36"/>
          <w:szCs w:val="36"/>
        </w:rPr>
      </w:pPr>
      <w:bookmarkStart w:id="18" w:name="_Toc50273554"/>
      <w:r w:rsidRPr="006E0441">
        <w:rPr>
          <w:caps/>
        </w:rPr>
        <w:br w:type="page"/>
      </w:r>
    </w:p>
    <w:p w:rsidR="000E5BD1" w:rsidRPr="006E0441" w:rsidRDefault="000E5BD1" w:rsidP="00C65266">
      <w:pPr>
        <w:pStyle w:val="Naslov1"/>
        <w:numPr>
          <w:ilvl w:val="0"/>
          <w:numId w:val="12"/>
        </w:numPr>
        <w:ind w:hanging="720"/>
        <w:rPr>
          <w:caps w:val="0"/>
        </w:rPr>
      </w:pPr>
      <w:r w:rsidRPr="006E0441">
        <w:rPr>
          <w:caps w:val="0"/>
        </w:rPr>
        <w:lastRenderedPageBreak/>
        <w:t>Ureditev kazalnikov in drugih povezanih vsebin v povezavi s spremembami izvajanja OP</w:t>
      </w:r>
      <w:r w:rsidR="009A5544" w:rsidRPr="006E0441">
        <w:rPr>
          <w:caps w:val="0"/>
        </w:rPr>
        <w:t xml:space="preserve"> </w:t>
      </w:r>
      <w:r w:rsidRPr="006E0441">
        <w:rPr>
          <w:caps w:val="0"/>
        </w:rPr>
        <w:t>14-20 zaradi covid-19</w:t>
      </w:r>
      <w:bookmarkEnd w:id="18"/>
    </w:p>
    <w:p w:rsidR="000E5BD1" w:rsidRPr="006E0441" w:rsidRDefault="000E5BD1" w:rsidP="000E5BD1"/>
    <w:p w:rsidR="000E5BD1" w:rsidRPr="006E0441" w:rsidRDefault="000E5BD1" w:rsidP="000E5BD1">
      <w:pPr>
        <w:jc w:val="both"/>
      </w:pPr>
      <w:r w:rsidRPr="006E0441">
        <w:t xml:space="preserve">Evropska komisija od držav članic zahteva, da se natančno poroča koliko sredstev je bilo s sredstvi evropske kohezijske politike namenjenih za blažitev posledic COVID19 in za katere namene. Za ta namen je bil pripravljen s strani EK tudi </w:t>
      </w:r>
      <w:r w:rsidR="00143F94" w:rsidRPr="006E0441">
        <w:t xml:space="preserve">dokument NON PAPER: List </w:t>
      </w:r>
      <w:proofErr w:type="spellStart"/>
      <w:r w:rsidR="00143F94" w:rsidRPr="006E0441">
        <w:t>of</w:t>
      </w:r>
      <w:proofErr w:type="spellEnd"/>
      <w:r w:rsidR="00143F94" w:rsidRPr="006E0441">
        <w:t xml:space="preserve"> </w:t>
      </w:r>
      <w:proofErr w:type="spellStart"/>
      <w:r w:rsidR="00143F94" w:rsidRPr="006E0441">
        <w:t>programme</w:t>
      </w:r>
      <w:proofErr w:type="spellEnd"/>
      <w:r w:rsidR="00143F94" w:rsidRPr="006E0441">
        <w:t xml:space="preserve"> </w:t>
      </w:r>
      <w:proofErr w:type="spellStart"/>
      <w:r w:rsidR="00143F94" w:rsidRPr="006E0441">
        <w:t>specific</w:t>
      </w:r>
      <w:proofErr w:type="spellEnd"/>
      <w:r w:rsidR="00143F94" w:rsidRPr="006E0441">
        <w:t xml:space="preserve"> </w:t>
      </w:r>
      <w:proofErr w:type="spellStart"/>
      <w:r w:rsidR="00143F94" w:rsidRPr="006E0441">
        <w:t>indicators</w:t>
      </w:r>
      <w:proofErr w:type="spellEnd"/>
      <w:r w:rsidR="00143F94" w:rsidRPr="006E0441">
        <w:t xml:space="preserve"> </w:t>
      </w:r>
      <w:proofErr w:type="spellStart"/>
      <w:r w:rsidR="00143F94" w:rsidRPr="006E0441">
        <w:t>related</w:t>
      </w:r>
      <w:proofErr w:type="spellEnd"/>
      <w:r w:rsidR="00143F94" w:rsidRPr="006E0441">
        <w:t xml:space="preserve"> to </w:t>
      </w:r>
      <w:proofErr w:type="spellStart"/>
      <w:r w:rsidR="00143F94" w:rsidRPr="006E0441">
        <w:t>the</w:t>
      </w:r>
      <w:proofErr w:type="spellEnd"/>
      <w:r w:rsidR="00143F94" w:rsidRPr="006E0441">
        <w:t xml:space="preserve"> </w:t>
      </w:r>
      <w:proofErr w:type="spellStart"/>
      <w:r w:rsidR="00143F94" w:rsidRPr="006E0441">
        <w:t>cohesion</w:t>
      </w:r>
      <w:proofErr w:type="spellEnd"/>
      <w:r w:rsidR="00143F94" w:rsidRPr="006E0441">
        <w:t xml:space="preserve"> </w:t>
      </w:r>
      <w:proofErr w:type="spellStart"/>
      <w:r w:rsidR="00143F94" w:rsidRPr="006E0441">
        <w:t>policy</w:t>
      </w:r>
      <w:proofErr w:type="spellEnd"/>
      <w:r w:rsidR="00143F94" w:rsidRPr="006E0441">
        <w:t xml:space="preserve"> </w:t>
      </w:r>
      <w:proofErr w:type="spellStart"/>
      <w:r w:rsidR="00143F94" w:rsidRPr="006E0441">
        <w:t>responce</w:t>
      </w:r>
      <w:proofErr w:type="spellEnd"/>
      <w:r w:rsidR="00143F94" w:rsidRPr="006E0441">
        <w:t xml:space="preserve"> to </w:t>
      </w:r>
      <w:proofErr w:type="spellStart"/>
      <w:r w:rsidR="00143F94" w:rsidRPr="006E0441">
        <w:t>the</w:t>
      </w:r>
      <w:proofErr w:type="spellEnd"/>
      <w:r w:rsidR="00143F94" w:rsidRPr="006E0441">
        <w:t xml:space="preserve"> COVID-19 </w:t>
      </w:r>
      <w:proofErr w:type="spellStart"/>
      <w:r w:rsidR="00143F94" w:rsidRPr="006E0441">
        <w:t>pandemic</w:t>
      </w:r>
      <w:proofErr w:type="spellEnd"/>
      <w:r w:rsidR="00143F94" w:rsidRPr="006E0441">
        <w:t>, z dne 12.5.2020.</w:t>
      </w:r>
      <w:r w:rsidRPr="006E0441">
        <w:t xml:space="preserve">. </w:t>
      </w:r>
    </w:p>
    <w:p w:rsidR="000E5BD1" w:rsidRPr="006E0441" w:rsidRDefault="000E5BD1" w:rsidP="00143F94">
      <w:pPr>
        <w:jc w:val="both"/>
      </w:pPr>
      <w:r w:rsidRPr="006E0441">
        <w:t xml:space="preserve">Skupaj se tako </w:t>
      </w:r>
      <w:r w:rsidR="00143F94" w:rsidRPr="006E0441">
        <w:t xml:space="preserve">na ravni EK </w:t>
      </w:r>
      <w:r w:rsidRPr="006E0441">
        <w:t>spremlja</w:t>
      </w:r>
      <w:r w:rsidR="00F429B0" w:rsidRPr="006E0441">
        <w:t xml:space="preserve"> kazalnike iz </w:t>
      </w:r>
      <w:r w:rsidRPr="006E0441">
        <w:t>nabora 33 kazalnikov učinka in ter 2 predlagana kazalnika za specifični kazalnik rezultata.</w:t>
      </w:r>
      <w:r w:rsidR="00143F94" w:rsidRPr="006E0441">
        <w:t xml:space="preserve"> Glede na to da se ukrepi za odziv na COVID v okviru OP 14-20 načrtujejo tudi v okviru obstoječih prednostnih osi, je v tabeli 9 predstavljen nabor dodatnih kazalnikov, ki se bodo spremljali v okviru posamezne prednostne osi.</w:t>
      </w:r>
    </w:p>
    <w:p w:rsidR="00F429B0" w:rsidRPr="006E0441" w:rsidRDefault="004C776D" w:rsidP="000E5BD1">
      <w:pPr>
        <w:jc w:val="both"/>
      </w:pPr>
      <w:r w:rsidRPr="006E0441">
        <w:t xml:space="preserve">Seznam </w:t>
      </w:r>
      <w:r w:rsidR="00F429B0" w:rsidRPr="006E0441">
        <w:t xml:space="preserve">vrednosti posameznih </w:t>
      </w:r>
      <w:r w:rsidRPr="006E0441">
        <w:t>kazalnikov ni dokončen in se bo na tehnični ravni usklajeval z EK.</w:t>
      </w:r>
      <w:r w:rsidR="00004E94" w:rsidRPr="006E0441">
        <w:t xml:space="preserve"> </w:t>
      </w:r>
      <w:r w:rsidRPr="006E0441">
        <w:t xml:space="preserve">Prav tako bo za te kazalnike potrebno poročati v okviru </w:t>
      </w:r>
      <w:r w:rsidR="00143F94" w:rsidRPr="006E0441">
        <w:t>nove prednostne osi za</w:t>
      </w:r>
      <w:r w:rsidRPr="006E0441">
        <w:t xml:space="preserve"> </w:t>
      </w:r>
      <w:proofErr w:type="spellStart"/>
      <w:r w:rsidRPr="006E0441">
        <w:t>React</w:t>
      </w:r>
      <w:proofErr w:type="spellEnd"/>
      <w:r w:rsidRPr="006E0441">
        <w:t xml:space="preserve">-EU, kjer imamo zgolj indikativni seznam predlogov. Iz tega razlog je v spodnji tabeli prikazano stanje </w:t>
      </w:r>
      <w:r w:rsidR="00F429B0" w:rsidRPr="006E0441">
        <w:t xml:space="preserve">za projekte, ki so </w:t>
      </w:r>
      <w:r w:rsidR="00143F94" w:rsidRPr="006E0441">
        <w:t xml:space="preserve">že </w:t>
      </w:r>
      <w:r w:rsidR="00F429B0" w:rsidRPr="006E0441">
        <w:t xml:space="preserve">bili pripravljeni kot odziv na epidemijo COVID-19. </w:t>
      </w:r>
      <w:r w:rsidR="00143F94" w:rsidRPr="006E0441">
        <w:t>P</w:t>
      </w:r>
      <w:r w:rsidR="00F429B0" w:rsidRPr="006E0441">
        <w:t>rav tako EK še ni nadgradila uradnega informacijskega sistema SFC, ki bi dopuščal vnos, pregled in poročanje o teh kazalnikih. Vseeno je sk</w:t>
      </w:r>
      <w:r w:rsidR="00004E94" w:rsidRPr="006E0441">
        <w:t>l</w:t>
      </w:r>
      <w:r w:rsidR="00F429B0" w:rsidRPr="006E0441">
        <w:t>adno s priporočili EK namenjeno tej pomembni temi spremljanja odziva evropske kohezijske politike na COVID -19 ločeno poglavje, ki se ga bo tekom usklajevanja z EK dokončno uskladilo.</w:t>
      </w:r>
    </w:p>
    <w:p w:rsidR="00550EC1" w:rsidRPr="006E0441" w:rsidRDefault="00550EC1" w:rsidP="000E5BD1">
      <w:pPr>
        <w:jc w:val="both"/>
        <w:rPr>
          <w:b/>
        </w:rPr>
      </w:pPr>
    </w:p>
    <w:p w:rsidR="000E5BD1" w:rsidRPr="006E0441" w:rsidRDefault="000E5BD1" w:rsidP="000E5BD1">
      <w:pPr>
        <w:jc w:val="both"/>
        <w:rPr>
          <w:b/>
        </w:rPr>
      </w:pPr>
      <w:r w:rsidRPr="006E0441">
        <w:rPr>
          <w:b/>
        </w:rPr>
        <w:t xml:space="preserve">Tabela 9: Predvideni kazalniki </w:t>
      </w:r>
      <w:proofErr w:type="spellStart"/>
      <w:r w:rsidRPr="006E0441">
        <w:rPr>
          <w:b/>
        </w:rPr>
        <w:t>Covid</w:t>
      </w:r>
      <w:proofErr w:type="spellEnd"/>
      <w:r w:rsidRPr="006E0441">
        <w:rPr>
          <w:b/>
        </w:rPr>
        <w:t xml:space="preserve"> 19 v OP </w:t>
      </w:r>
      <w:r w:rsidR="00143F94" w:rsidRPr="006E0441">
        <w:rPr>
          <w:b/>
        </w:rPr>
        <w:t>po prednostnih oseh</w:t>
      </w:r>
      <w:r w:rsidRPr="006E0441">
        <w:rPr>
          <w:b/>
        </w:rPr>
        <w:t>:</w:t>
      </w:r>
    </w:p>
    <w:p w:rsidR="00143F94" w:rsidRPr="006E0441" w:rsidRDefault="00143F94" w:rsidP="000E5BD1">
      <w:pPr>
        <w:jc w:val="both"/>
        <w:rPr>
          <w:b/>
        </w:rPr>
      </w:pPr>
    </w:p>
    <w:tbl>
      <w:tblPr>
        <w:tblW w:w="0" w:type="auto"/>
        <w:jc w:val="center"/>
        <w:tblCellMar>
          <w:left w:w="10" w:type="dxa"/>
          <w:right w:w="10" w:type="dxa"/>
        </w:tblCellMar>
        <w:tblLook w:val="0000" w:firstRow="0" w:lastRow="0" w:firstColumn="0" w:lastColumn="0" w:noHBand="0" w:noVBand="0"/>
      </w:tblPr>
      <w:tblGrid>
        <w:gridCol w:w="442"/>
        <w:gridCol w:w="3097"/>
        <w:gridCol w:w="517"/>
        <w:gridCol w:w="709"/>
        <w:gridCol w:w="851"/>
        <w:gridCol w:w="985"/>
        <w:gridCol w:w="1008"/>
        <w:gridCol w:w="1127"/>
      </w:tblGrid>
      <w:tr w:rsidR="00143F94" w:rsidRPr="006E0441" w:rsidTr="002C1732">
        <w:trPr>
          <w:trHeight w:val="725"/>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ind w:left="120"/>
              <w:rPr>
                <w:rFonts w:cs="Arial"/>
                <w:b/>
                <w:sz w:val="16"/>
                <w:szCs w:val="16"/>
              </w:rPr>
            </w:pPr>
            <w:r w:rsidRPr="006E0441">
              <w:rPr>
                <w:rFonts w:cs="Arial"/>
                <w:b/>
                <w:sz w:val="16"/>
                <w:szCs w:val="16"/>
              </w:rPr>
              <w:t>ID</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jc w:val="center"/>
              <w:rPr>
                <w:rFonts w:cs="Arial"/>
                <w:b/>
                <w:sz w:val="16"/>
                <w:szCs w:val="16"/>
              </w:rPr>
            </w:pPr>
            <w:r w:rsidRPr="006E0441">
              <w:rPr>
                <w:rFonts w:cs="Arial"/>
                <w:b/>
                <w:i/>
                <w:iCs/>
                <w:sz w:val="16"/>
                <w:szCs w:val="16"/>
              </w:rPr>
              <w:t>Kazalnik</w:t>
            </w:r>
            <w:r w:rsidRPr="006E0441">
              <w:rPr>
                <w:rFonts w:cs="Arial"/>
                <w:b/>
                <w:sz w:val="16"/>
                <w:szCs w:val="16"/>
              </w:rPr>
              <w:t xml:space="preserve"> (naziv kazalnika)</w:t>
            </w:r>
          </w:p>
        </w:tc>
        <w:tc>
          <w:tcPr>
            <w:tcW w:w="51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jc w:val="center"/>
              <w:rPr>
                <w:rFonts w:cs="Arial"/>
                <w:b/>
                <w:sz w:val="16"/>
                <w:szCs w:val="16"/>
              </w:rPr>
            </w:pPr>
            <w:r w:rsidRPr="006E0441">
              <w:rPr>
                <w:rFonts w:cs="Arial"/>
                <w:b/>
                <w:sz w:val="16"/>
                <w:szCs w:val="16"/>
              </w:rPr>
              <w:t xml:space="preserve">Merska enota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jc w:val="center"/>
              <w:rPr>
                <w:rFonts w:cs="Arial"/>
                <w:b/>
                <w:sz w:val="16"/>
                <w:szCs w:val="16"/>
              </w:rPr>
            </w:pPr>
            <w:r w:rsidRPr="006E0441">
              <w:rPr>
                <w:rFonts w:cs="Arial"/>
                <w:b/>
                <w:sz w:val="16"/>
                <w:szCs w:val="16"/>
              </w:rPr>
              <w:t xml:space="preserve">Sklad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jc w:val="center"/>
              <w:rPr>
                <w:rFonts w:cs="Arial"/>
                <w:b/>
                <w:sz w:val="16"/>
                <w:szCs w:val="16"/>
              </w:rPr>
            </w:pPr>
            <w:r w:rsidRPr="006E0441">
              <w:rPr>
                <w:rFonts w:cs="Arial"/>
                <w:b/>
                <w:sz w:val="16"/>
                <w:szCs w:val="16"/>
              </w:rPr>
              <w:t>Kategorija regije</w:t>
            </w:r>
          </w:p>
        </w:tc>
        <w:tc>
          <w:tcPr>
            <w:tcW w:w="985"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jc w:val="center"/>
              <w:rPr>
                <w:rFonts w:cs="Arial"/>
                <w:b/>
                <w:sz w:val="16"/>
                <w:szCs w:val="16"/>
              </w:rPr>
            </w:pPr>
            <w:r w:rsidRPr="006E0441">
              <w:rPr>
                <w:rFonts w:cs="Arial"/>
                <w:b/>
                <w:sz w:val="16"/>
                <w:szCs w:val="16"/>
              </w:rPr>
              <w:t>Ciljna vrednost (2023)</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ind w:right="440"/>
              <w:jc w:val="both"/>
              <w:rPr>
                <w:rFonts w:cs="Arial"/>
                <w:b/>
                <w:sz w:val="16"/>
                <w:szCs w:val="16"/>
              </w:rPr>
            </w:pPr>
            <w:r w:rsidRPr="006E0441">
              <w:rPr>
                <w:rFonts w:cs="Arial"/>
                <w:b/>
                <w:sz w:val="16"/>
                <w:szCs w:val="16"/>
              </w:rPr>
              <w:t>Vir podatka</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ind w:right="440"/>
              <w:jc w:val="both"/>
              <w:rPr>
                <w:rFonts w:cs="Arial"/>
                <w:b/>
                <w:sz w:val="16"/>
                <w:szCs w:val="16"/>
              </w:rPr>
            </w:pPr>
            <w:r w:rsidRPr="006E0441">
              <w:rPr>
                <w:rFonts w:cs="Arial"/>
                <w:b/>
                <w:sz w:val="16"/>
                <w:szCs w:val="16"/>
              </w:rPr>
              <w:t>Pogostost poročanja</w:t>
            </w:r>
          </w:p>
        </w:tc>
      </w:tr>
      <w:tr w:rsidR="00143F94" w:rsidRPr="006E0441" w:rsidTr="002C1732">
        <w:trPr>
          <w:trHeight w:val="371"/>
          <w:jc w:val="center"/>
        </w:trPr>
        <w:tc>
          <w:tcPr>
            <w:tcW w:w="8736" w:type="dxa"/>
            <w:gridSpan w:val="8"/>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ind w:right="440"/>
              <w:jc w:val="both"/>
              <w:rPr>
                <w:rFonts w:cs="Arial"/>
                <w:b/>
                <w:sz w:val="16"/>
                <w:szCs w:val="16"/>
              </w:rPr>
            </w:pPr>
            <w:r w:rsidRPr="006E0441">
              <w:rPr>
                <w:rFonts w:cs="Arial"/>
                <w:b/>
                <w:sz w:val="16"/>
                <w:szCs w:val="16"/>
              </w:rPr>
              <w:t>Prednostna os 1</w:t>
            </w:r>
          </w:p>
        </w:tc>
      </w:tr>
      <w:tr w:rsidR="00143F94" w:rsidRPr="006E0441" w:rsidTr="002C1732">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r w:rsidRPr="006E0441">
              <w:rPr>
                <w:rFonts w:cs="Arial"/>
                <w:sz w:val="16"/>
                <w:szCs w:val="16"/>
              </w:rPr>
              <w:t>CV5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proofErr w:type="spellStart"/>
            <w:r w:rsidRPr="006E0441">
              <w:rPr>
                <w:rFonts w:cs="Arial"/>
                <w:sz w:val="16"/>
                <w:szCs w:val="16"/>
              </w:rPr>
              <w:t>Value</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w:t>
            </w:r>
            <w:proofErr w:type="spellStart"/>
            <w:r w:rsidRPr="006E0441">
              <w:rPr>
                <w:rFonts w:cs="Arial"/>
                <w:sz w:val="16"/>
                <w:szCs w:val="16"/>
              </w:rPr>
              <w:t>grants</w:t>
            </w:r>
            <w:proofErr w:type="spellEnd"/>
            <w:r w:rsidRPr="006E0441">
              <w:rPr>
                <w:rFonts w:cs="Arial"/>
                <w:sz w:val="16"/>
                <w:szCs w:val="16"/>
              </w:rPr>
              <w:t xml:space="preserve"> </w:t>
            </w:r>
            <w:proofErr w:type="spellStart"/>
            <w:r w:rsidRPr="006E0441">
              <w:rPr>
                <w:rFonts w:cs="Arial"/>
                <w:sz w:val="16"/>
                <w:szCs w:val="16"/>
              </w:rPr>
              <w:t>for</w:t>
            </w:r>
            <w:proofErr w:type="spellEnd"/>
            <w:r w:rsidRPr="006E0441">
              <w:rPr>
                <w:rFonts w:cs="Arial"/>
                <w:sz w:val="16"/>
                <w:szCs w:val="16"/>
              </w:rPr>
              <w:t xml:space="preserve"> R&amp;D </w:t>
            </w:r>
            <w:proofErr w:type="spellStart"/>
            <w:r w:rsidRPr="006E0441">
              <w:rPr>
                <w:rFonts w:cs="Arial"/>
                <w:sz w:val="16"/>
                <w:szCs w:val="16"/>
              </w:rPr>
              <w:t>into</w:t>
            </w:r>
            <w:proofErr w:type="spellEnd"/>
            <w:r w:rsidRPr="006E0441">
              <w:rPr>
                <w:rFonts w:cs="Arial"/>
                <w:sz w:val="16"/>
                <w:szCs w:val="16"/>
              </w:rPr>
              <w:t xml:space="preserve"> COVID-19 </w:t>
            </w:r>
            <w:proofErr w:type="spellStart"/>
            <w:r w:rsidRPr="006E0441">
              <w:rPr>
                <w:rFonts w:cs="Arial"/>
                <w:sz w:val="16"/>
                <w:szCs w:val="16"/>
              </w:rPr>
              <w:t>treatments</w:t>
            </w:r>
            <w:proofErr w:type="spellEnd"/>
            <w:r w:rsidRPr="006E0441">
              <w:rPr>
                <w:rFonts w:cs="Arial"/>
                <w:sz w:val="16"/>
                <w:szCs w:val="16"/>
              </w:rPr>
              <w:t xml:space="preserve"> (</w:t>
            </w:r>
            <w:proofErr w:type="spellStart"/>
            <w:r w:rsidRPr="006E0441">
              <w:rPr>
                <w:rFonts w:cs="Arial"/>
                <w:sz w:val="16"/>
                <w:szCs w:val="16"/>
              </w:rPr>
              <w:t>medicines</w:t>
            </w:r>
            <w:proofErr w:type="spellEnd"/>
            <w:r w:rsidRPr="006E0441">
              <w:rPr>
                <w:rFonts w:cs="Arial"/>
                <w:sz w:val="16"/>
                <w:szCs w:val="16"/>
              </w:rPr>
              <w:t xml:space="preserve">) </w:t>
            </w:r>
            <w:proofErr w:type="spellStart"/>
            <w:r w:rsidRPr="006E0441">
              <w:rPr>
                <w:rFonts w:cs="Arial"/>
                <w:sz w:val="16"/>
                <w:szCs w:val="16"/>
              </w:rPr>
              <w:t>and</w:t>
            </w:r>
            <w:proofErr w:type="spellEnd"/>
            <w:r w:rsidRPr="006E0441">
              <w:rPr>
                <w:rFonts w:cs="Arial"/>
                <w:sz w:val="16"/>
                <w:szCs w:val="16"/>
              </w:rPr>
              <w:t xml:space="preserve"> </w:t>
            </w:r>
            <w:proofErr w:type="spellStart"/>
            <w:r w:rsidRPr="006E0441">
              <w:rPr>
                <w:rFonts w:cs="Arial"/>
                <w:sz w:val="16"/>
                <w:szCs w:val="16"/>
              </w:rPr>
              <w:t>vaccines</w:t>
            </w:r>
            <w:proofErr w:type="spellEnd"/>
            <w:r w:rsidRPr="006E0441">
              <w:rPr>
                <w:rFonts w:cs="Arial"/>
                <w:sz w:val="16"/>
                <w:szCs w:val="16"/>
              </w:rPr>
              <w:t xml:space="preserve"> (total </w:t>
            </w:r>
            <w:proofErr w:type="spellStart"/>
            <w:r w:rsidRPr="006E0441">
              <w:rPr>
                <w:rFonts w:cs="Arial"/>
                <w:sz w:val="16"/>
                <w:szCs w:val="16"/>
              </w:rPr>
              <w:t>public</w:t>
            </w:r>
            <w:proofErr w:type="spellEnd"/>
            <w:r w:rsidRPr="006E0441">
              <w:rPr>
                <w:rFonts w:cs="Arial"/>
                <w:sz w:val="16"/>
                <w:szCs w:val="16"/>
              </w:rPr>
              <w:t xml:space="preserve"> </w:t>
            </w:r>
            <w:proofErr w:type="spellStart"/>
            <w:r w:rsidRPr="006E0441">
              <w:rPr>
                <w:rFonts w:cs="Arial"/>
                <w:sz w:val="16"/>
                <w:szCs w:val="16"/>
              </w:rPr>
              <w:t>cost</w:t>
            </w:r>
            <w:proofErr w:type="spellEnd"/>
            <w:r w:rsidRPr="006E0441">
              <w:rPr>
                <w:rFonts w:cs="Arial"/>
                <w:sz w:val="16"/>
                <w:szCs w:val="16"/>
              </w:rPr>
              <w:t>)</w:t>
            </w:r>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EUR</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ESRR</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 xml:space="preserve">Celotna </w:t>
            </w:r>
            <w:proofErr w:type="spellStart"/>
            <w:r w:rsidRPr="006E0441">
              <w:rPr>
                <w:rFonts w:cs="Arial"/>
                <w:sz w:val="16"/>
                <w:szCs w:val="16"/>
              </w:rPr>
              <w:t>slovenija</w:t>
            </w:r>
            <w:proofErr w:type="spellEnd"/>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5.000.000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Letno</w:t>
            </w:r>
          </w:p>
        </w:tc>
      </w:tr>
      <w:tr w:rsidR="00143F94" w:rsidRPr="006E0441" w:rsidTr="002C1732">
        <w:trPr>
          <w:trHeight w:val="911"/>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r w:rsidRPr="006E0441">
              <w:rPr>
                <w:rFonts w:cs="Arial"/>
                <w:sz w:val="16"/>
                <w:szCs w:val="16"/>
              </w:rPr>
              <w:t>CV21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proofErr w:type="spellStart"/>
            <w:r w:rsidRPr="006E0441">
              <w:rPr>
                <w:rFonts w:cs="Arial"/>
                <w:sz w:val="16"/>
                <w:szCs w:val="16"/>
              </w:rPr>
              <w:t>Value</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w:t>
            </w:r>
            <w:proofErr w:type="spellStart"/>
            <w:r w:rsidRPr="006E0441">
              <w:rPr>
                <w:rFonts w:cs="Arial"/>
                <w:sz w:val="16"/>
                <w:szCs w:val="16"/>
              </w:rPr>
              <w:t>financial</w:t>
            </w:r>
            <w:proofErr w:type="spellEnd"/>
            <w:r w:rsidRPr="006E0441">
              <w:rPr>
                <w:rFonts w:cs="Arial"/>
                <w:sz w:val="16"/>
                <w:szCs w:val="16"/>
              </w:rPr>
              <w:t xml:space="preserve"> </w:t>
            </w:r>
            <w:proofErr w:type="spellStart"/>
            <w:r w:rsidRPr="006E0441">
              <w:rPr>
                <w:rFonts w:cs="Arial"/>
                <w:sz w:val="16"/>
                <w:szCs w:val="16"/>
              </w:rPr>
              <w:t>support</w:t>
            </w:r>
            <w:proofErr w:type="spellEnd"/>
            <w:r w:rsidRPr="006E0441">
              <w:rPr>
                <w:rFonts w:cs="Arial"/>
                <w:sz w:val="16"/>
                <w:szCs w:val="16"/>
              </w:rPr>
              <w:t xml:space="preserve"> to </w:t>
            </w:r>
            <w:proofErr w:type="spellStart"/>
            <w:r w:rsidRPr="006E0441">
              <w:rPr>
                <w:rFonts w:cs="Arial"/>
                <w:sz w:val="16"/>
                <w:szCs w:val="16"/>
              </w:rPr>
              <w:t>SMEs</w:t>
            </w:r>
            <w:proofErr w:type="spellEnd"/>
            <w:r w:rsidRPr="006E0441">
              <w:rPr>
                <w:rFonts w:cs="Arial"/>
                <w:sz w:val="16"/>
                <w:szCs w:val="16"/>
              </w:rPr>
              <w:t xml:space="preserve"> </w:t>
            </w:r>
            <w:proofErr w:type="spellStart"/>
            <w:r w:rsidRPr="006E0441">
              <w:rPr>
                <w:rFonts w:cs="Arial"/>
                <w:sz w:val="16"/>
                <w:szCs w:val="16"/>
              </w:rPr>
              <w:t>for</w:t>
            </w:r>
            <w:proofErr w:type="spellEnd"/>
            <w:r w:rsidRPr="006E0441">
              <w:rPr>
                <w:rFonts w:cs="Arial"/>
                <w:sz w:val="16"/>
                <w:szCs w:val="16"/>
              </w:rPr>
              <w:t xml:space="preserve"> </w:t>
            </w:r>
            <w:proofErr w:type="spellStart"/>
            <w:r w:rsidRPr="006E0441">
              <w:rPr>
                <w:rFonts w:cs="Arial"/>
                <w:sz w:val="16"/>
                <w:szCs w:val="16"/>
              </w:rPr>
              <w:t>working</w:t>
            </w:r>
            <w:proofErr w:type="spellEnd"/>
            <w:r w:rsidRPr="006E0441">
              <w:rPr>
                <w:rFonts w:cs="Arial"/>
                <w:sz w:val="16"/>
                <w:szCs w:val="16"/>
              </w:rPr>
              <w:t xml:space="preserve"> </w:t>
            </w:r>
            <w:proofErr w:type="spellStart"/>
            <w:r w:rsidRPr="006E0441">
              <w:rPr>
                <w:rFonts w:cs="Arial"/>
                <w:sz w:val="16"/>
                <w:szCs w:val="16"/>
              </w:rPr>
              <w:t>capital</w:t>
            </w:r>
            <w:proofErr w:type="spellEnd"/>
            <w:r w:rsidRPr="006E0441">
              <w:rPr>
                <w:rFonts w:cs="Arial"/>
                <w:sz w:val="16"/>
                <w:szCs w:val="16"/>
              </w:rPr>
              <w:t xml:space="preserve"> </w:t>
            </w:r>
            <w:proofErr w:type="spellStart"/>
            <w:r w:rsidRPr="006E0441">
              <w:rPr>
                <w:rFonts w:cs="Arial"/>
                <w:sz w:val="16"/>
                <w:szCs w:val="16"/>
              </w:rPr>
              <w:t>other</w:t>
            </w:r>
            <w:proofErr w:type="spellEnd"/>
            <w:r w:rsidRPr="006E0441">
              <w:rPr>
                <w:rFonts w:cs="Arial"/>
                <w:sz w:val="16"/>
                <w:szCs w:val="16"/>
              </w:rPr>
              <w:t xml:space="preserve"> </w:t>
            </w:r>
            <w:proofErr w:type="spellStart"/>
            <w:r w:rsidRPr="006E0441">
              <w:rPr>
                <w:rFonts w:cs="Arial"/>
                <w:sz w:val="16"/>
                <w:szCs w:val="16"/>
              </w:rPr>
              <w:t>than</w:t>
            </w:r>
            <w:proofErr w:type="spellEnd"/>
            <w:r w:rsidRPr="006E0441">
              <w:rPr>
                <w:rFonts w:cs="Arial"/>
                <w:sz w:val="16"/>
                <w:szCs w:val="16"/>
              </w:rPr>
              <w:t xml:space="preserve"> </w:t>
            </w:r>
            <w:proofErr w:type="spellStart"/>
            <w:r w:rsidRPr="006E0441">
              <w:rPr>
                <w:rFonts w:cs="Arial"/>
                <w:sz w:val="16"/>
                <w:szCs w:val="16"/>
              </w:rPr>
              <w:t>grants</w:t>
            </w:r>
            <w:proofErr w:type="spellEnd"/>
            <w:r w:rsidRPr="006E0441">
              <w:rPr>
                <w:rFonts w:cs="Arial"/>
                <w:sz w:val="16"/>
                <w:szCs w:val="16"/>
              </w:rPr>
              <w:t xml:space="preserve"> (</w:t>
            </w:r>
            <w:proofErr w:type="spellStart"/>
            <w:r w:rsidRPr="006E0441">
              <w:rPr>
                <w:rFonts w:cs="Arial"/>
                <w:sz w:val="16"/>
                <w:szCs w:val="16"/>
              </w:rPr>
              <w:t>financial</w:t>
            </w:r>
            <w:proofErr w:type="spellEnd"/>
            <w:r w:rsidRPr="006E0441">
              <w:rPr>
                <w:rFonts w:cs="Arial"/>
                <w:sz w:val="16"/>
                <w:szCs w:val="16"/>
              </w:rPr>
              <w:t xml:space="preserve"> </w:t>
            </w:r>
            <w:proofErr w:type="spellStart"/>
            <w:r w:rsidRPr="006E0441">
              <w:rPr>
                <w:rFonts w:cs="Arial"/>
                <w:sz w:val="16"/>
                <w:szCs w:val="16"/>
              </w:rPr>
              <w:t>instruments</w:t>
            </w:r>
            <w:proofErr w:type="spellEnd"/>
            <w:r w:rsidRPr="006E0441">
              <w:rPr>
                <w:rFonts w:cs="Arial"/>
                <w:sz w:val="16"/>
                <w:szCs w:val="16"/>
              </w:rPr>
              <w:t xml:space="preserve">) in COVID-19 </w:t>
            </w:r>
            <w:proofErr w:type="spellStart"/>
            <w:r w:rsidRPr="006E0441">
              <w:rPr>
                <w:rFonts w:cs="Arial"/>
                <w:sz w:val="16"/>
                <w:szCs w:val="16"/>
              </w:rPr>
              <w:t>response</w:t>
            </w:r>
            <w:proofErr w:type="spellEnd"/>
            <w:r w:rsidRPr="006E0441">
              <w:rPr>
                <w:rFonts w:cs="Arial"/>
                <w:sz w:val="16"/>
                <w:szCs w:val="16"/>
              </w:rPr>
              <w:t xml:space="preserve"> (total </w:t>
            </w:r>
            <w:proofErr w:type="spellStart"/>
            <w:r w:rsidRPr="006E0441">
              <w:rPr>
                <w:rFonts w:cs="Arial"/>
                <w:sz w:val="16"/>
                <w:szCs w:val="16"/>
              </w:rPr>
              <w:t>public</w:t>
            </w:r>
            <w:proofErr w:type="spellEnd"/>
            <w:r w:rsidRPr="006E0441">
              <w:rPr>
                <w:rFonts w:cs="Arial"/>
                <w:sz w:val="16"/>
                <w:szCs w:val="16"/>
              </w:rPr>
              <w:t xml:space="preserve"> </w:t>
            </w:r>
            <w:proofErr w:type="spellStart"/>
            <w:r w:rsidRPr="006E0441">
              <w:rPr>
                <w:rFonts w:cs="Arial"/>
                <w:sz w:val="16"/>
                <w:szCs w:val="16"/>
              </w:rPr>
              <w:t>cost</w:t>
            </w:r>
            <w:proofErr w:type="spellEnd"/>
            <w:r w:rsidRPr="006E0441">
              <w:rPr>
                <w:rFonts w:cs="Arial"/>
                <w:sz w:val="16"/>
                <w:szCs w:val="16"/>
              </w:rPr>
              <w:t>)</w:t>
            </w:r>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EUR</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ESRR</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 xml:space="preserve">Celotna </w:t>
            </w:r>
            <w:proofErr w:type="spellStart"/>
            <w:r w:rsidRPr="006E0441">
              <w:rPr>
                <w:rFonts w:cs="Arial"/>
                <w:sz w:val="16"/>
                <w:szCs w:val="16"/>
              </w:rPr>
              <w:t>slovenija</w:t>
            </w:r>
            <w:proofErr w:type="spellEnd"/>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2.500.000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Letno</w:t>
            </w:r>
          </w:p>
        </w:tc>
      </w:tr>
      <w:tr w:rsidR="00143F94" w:rsidRPr="006E0441" w:rsidTr="002C1732">
        <w:trPr>
          <w:trHeight w:val="371"/>
          <w:jc w:val="center"/>
        </w:trPr>
        <w:tc>
          <w:tcPr>
            <w:tcW w:w="8736" w:type="dxa"/>
            <w:gridSpan w:val="8"/>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ind w:right="440"/>
              <w:jc w:val="both"/>
              <w:rPr>
                <w:rFonts w:cs="Arial"/>
                <w:b/>
                <w:sz w:val="16"/>
                <w:szCs w:val="16"/>
              </w:rPr>
            </w:pPr>
            <w:r w:rsidRPr="006E0441">
              <w:rPr>
                <w:rFonts w:cs="Arial"/>
                <w:b/>
                <w:sz w:val="16"/>
                <w:szCs w:val="16"/>
              </w:rPr>
              <w:t>Prednostna os 3</w:t>
            </w:r>
          </w:p>
        </w:tc>
      </w:tr>
      <w:tr w:rsidR="00143F94" w:rsidRPr="006E0441" w:rsidTr="002C1732">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r w:rsidRPr="006E0441">
              <w:rPr>
                <w:rFonts w:cs="Arial"/>
                <w:sz w:val="16"/>
                <w:szCs w:val="16"/>
              </w:rPr>
              <w:t>CV20</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proofErr w:type="spellStart"/>
            <w:r w:rsidRPr="006E0441">
              <w:rPr>
                <w:rFonts w:cs="Arial"/>
                <w:sz w:val="16"/>
                <w:szCs w:val="16"/>
              </w:rPr>
              <w:t>Value</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non-</w:t>
            </w:r>
            <w:proofErr w:type="spellStart"/>
            <w:r w:rsidRPr="006E0441">
              <w:rPr>
                <w:rFonts w:cs="Arial"/>
                <w:sz w:val="16"/>
                <w:szCs w:val="16"/>
              </w:rPr>
              <w:t>repayable</w:t>
            </w:r>
            <w:proofErr w:type="spellEnd"/>
            <w:r w:rsidRPr="006E0441">
              <w:rPr>
                <w:rFonts w:cs="Arial"/>
                <w:sz w:val="16"/>
                <w:szCs w:val="16"/>
              </w:rPr>
              <w:t xml:space="preserve"> </w:t>
            </w:r>
            <w:proofErr w:type="spellStart"/>
            <w:r w:rsidRPr="006E0441">
              <w:rPr>
                <w:rFonts w:cs="Arial"/>
                <w:sz w:val="16"/>
                <w:szCs w:val="16"/>
              </w:rPr>
              <w:t>financial</w:t>
            </w:r>
            <w:proofErr w:type="spellEnd"/>
            <w:r w:rsidRPr="006E0441">
              <w:rPr>
                <w:rFonts w:cs="Arial"/>
                <w:sz w:val="16"/>
                <w:szCs w:val="16"/>
              </w:rPr>
              <w:t xml:space="preserve"> </w:t>
            </w:r>
            <w:proofErr w:type="spellStart"/>
            <w:r w:rsidRPr="006E0441">
              <w:rPr>
                <w:rFonts w:cs="Arial"/>
                <w:sz w:val="16"/>
                <w:szCs w:val="16"/>
              </w:rPr>
              <w:t>support</w:t>
            </w:r>
            <w:proofErr w:type="spellEnd"/>
            <w:r w:rsidRPr="006E0441">
              <w:rPr>
                <w:rFonts w:cs="Arial"/>
                <w:sz w:val="16"/>
                <w:szCs w:val="16"/>
              </w:rPr>
              <w:t xml:space="preserve"> to </w:t>
            </w:r>
            <w:proofErr w:type="spellStart"/>
            <w:r w:rsidRPr="006E0441">
              <w:rPr>
                <w:rFonts w:cs="Arial"/>
                <w:sz w:val="16"/>
                <w:szCs w:val="16"/>
              </w:rPr>
              <w:t>SMEs</w:t>
            </w:r>
            <w:proofErr w:type="spellEnd"/>
            <w:r w:rsidRPr="006E0441">
              <w:rPr>
                <w:rFonts w:cs="Arial"/>
                <w:sz w:val="16"/>
                <w:szCs w:val="16"/>
              </w:rPr>
              <w:t xml:space="preserve"> </w:t>
            </w:r>
            <w:proofErr w:type="spellStart"/>
            <w:r w:rsidRPr="006E0441">
              <w:rPr>
                <w:rFonts w:cs="Arial"/>
                <w:sz w:val="16"/>
                <w:szCs w:val="16"/>
              </w:rPr>
              <w:t>for</w:t>
            </w:r>
            <w:proofErr w:type="spellEnd"/>
            <w:r w:rsidRPr="006E0441">
              <w:rPr>
                <w:rFonts w:cs="Arial"/>
                <w:sz w:val="16"/>
                <w:szCs w:val="16"/>
              </w:rPr>
              <w:t xml:space="preserve"> </w:t>
            </w:r>
            <w:proofErr w:type="spellStart"/>
            <w:r w:rsidRPr="006E0441">
              <w:rPr>
                <w:rFonts w:cs="Arial"/>
                <w:sz w:val="16"/>
                <w:szCs w:val="16"/>
              </w:rPr>
              <w:t>working</w:t>
            </w:r>
            <w:proofErr w:type="spellEnd"/>
            <w:r w:rsidRPr="006E0441">
              <w:rPr>
                <w:rFonts w:cs="Arial"/>
                <w:sz w:val="16"/>
                <w:szCs w:val="16"/>
              </w:rPr>
              <w:t xml:space="preserve"> </w:t>
            </w:r>
            <w:proofErr w:type="spellStart"/>
            <w:r w:rsidRPr="006E0441">
              <w:rPr>
                <w:rFonts w:cs="Arial"/>
                <w:sz w:val="16"/>
                <w:szCs w:val="16"/>
              </w:rPr>
              <w:t>capital</w:t>
            </w:r>
            <w:proofErr w:type="spellEnd"/>
            <w:r w:rsidRPr="006E0441">
              <w:rPr>
                <w:rFonts w:cs="Arial"/>
                <w:sz w:val="16"/>
                <w:szCs w:val="16"/>
              </w:rPr>
              <w:t xml:space="preserve"> (</w:t>
            </w:r>
            <w:proofErr w:type="spellStart"/>
            <w:r w:rsidRPr="006E0441">
              <w:rPr>
                <w:rFonts w:cs="Arial"/>
                <w:sz w:val="16"/>
                <w:szCs w:val="16"/>
              </w:rPr>
              <w:t>grants</w:t>
            </w:r>
            <w:proofErr w:type="spellEnd"/>
            <w:r w:rsidRPr="006E0441">
              <w:rPr>
                <w:rFonts w:cs="Arial"/>
                <w:sz w:val="16"/>
                <w:szCs w:val="16"/>
              </w:rPr>
              <w:t xml:space="preserve">) in COVID-19 </w:t>
            </w:r>
            <w:proofErr w:type="spellStart"/>
            <w:r w:rsidRPr="006E0441">
              <w:rPr>
                <w:rFonts w:cs="Arial"/>
                <w:sz w:val="16"/>
                <w:szCs w:val="16"/>
              </w:rPr>
              <w:t>response</w:t>
            </w:r>
            <w:proofErr w:type="spellEnd"/>
            <w:r w:rsidRPr="006E0441">
              <w:rPr>
                <w:rFonts w:cs="Arial"/>
                <w:sz w:val="16"/>
                <w:szCs w:val="16"/>
              </w:rPr>
              <w:t xml:space="preserve"> (total </w:t>
            </w:r>
            <w:proofErr w:type="spellStart"/>
            <w:r w:rsidRPr="006E0441">
              <w:rPr>
                <w:rFonts w:cs="Arial"/>
                <w:sz w:val="16"/>
                <w:szCs w:val="16"/>
              </w:rPr>
              <w:t>public</w:t>
            </w:r>
            <w:proofErr w:type="spellEnd"/>
            <w:r w:rsidRPr="006E0441">
              <w:rPr>
                <w:rFonts w:cs="Arial"/>
                <w:sz w:val="16"/>
                <w:szCs w:val="16"/>
              </w:rPr>
              <w:t xml:space="preserve"> </w:t>
            </w:r>
            <w:proofErr w:type="spellStart"/>
            <w:r w:rsidRPr="006E0441">
              <w:rPr>
                <w:rFonts w:cs="Arial"/>
                <w:sz w:val="16"/>
                <w:szCs w:val="16"/>
              </w:rPr>
              <w:t>cost</w:t>
            </w:r>
            <w:proofErr w:type="spellEnd"/>
            <w:r w:rsidRPr="006E0441">
              <w:rPr>
                <w:rFonts w:cs="Arial"/>
                <w:sz w:val="16"/>
                <w:szCs w:val="16"/>
              </w:rPr>
              <w:t>)</w:t>
            </w:r>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EUR</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ESRR</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 xml:space="preserve">Celotna </w:t>
            </w:r>
            <w:proofErr w:type="spellStart"/>
            <w:r w:rsidRPr="006E0441">
              <w:rPr>
                <w:rFonts w:cs="Arial"/>
                <w:sz w:val="16"/>
                <w:szCs w:val="16"/>
              </w:rPr>
              <w:t>slovenija</w:t>
            </w:r>
            <w:proofErr w:type="spellEnd"/>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17.000.000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Letno</w:t>
            </w:r>
          </w:p>
        </w:tc>
      </w:tr>
      <w:tr w:rsidR="00143F94" w:rsidRPr="006E0441" w:rsidTr="002C1732">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r w:rsidRPr="006E0441">
              <w:rPr>
                <w:rFonts w:cs="Arial"/>
                <w:sz w:val="16"/>
                <w:szCs w:val="16"/>
              </w:rPr>
              <w:t>CV21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proofErr w:type="spellStart"/>
            <w:r w:rsidRPr="006E0441">
              <w:rPr>
                <w:rFonts w:cs="Arial"/>
                <w:sz w:val="16"/>
                <w:szCs w:val="16"/>
              </w:rPr>
              <w:t>Value</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w:t>
            </w:r>
            <w:proofErr w:type="spellStart"/>
            <w:r w:rsidRPr="006E0441">
              <w:rPr>
                <w:rFonts w:cs="Arial"/>
                <w:sz w:val="16"/>
                <w:szCs w:val="16"/>
              </w:rPr>
              <w:t>financial</w:t>
            </w:r>
            <w:proofErr w:type="spellEnd"/>
            <w:r w:rsidRPr="006E0441">
              <w:rPr>
                <w:rFonts w:cs="Arial"/>
                <w:sz w:val="16"/>
                <w:szCs w:val="16"/>
              </w:rPr>
              <w:t xml:space="preserve"> </w:t>
            </w:r>
            <w:proofErr w:type="spellStart"/>
            <w:r w:rsidRPr="006E0441">
              <w:rPr>
                <w:rFonts w:cs="Arial"/>
                <w:sz w:val="16"/>
                <w:szCs w:val="16"/>
              </w:rPr>
              <w:t>support</w:t>
            </w:r>
            <w:proofErr w:type="spellEnd"/>
            <w:r w:rsidRPr="006E0441">
              <w:rPr>
                <w:rFonts w:cs="Arial"/>
                <w:sz w:val="16"/>
                <w:szCs w:val="16"/>
              </w:rPr>
              <w:t xml:space="preserve"> to </w:t>
            </w:r>
            <w:proofErr w:type="spellStart"/>
            <w:r w:rsidRPr="006E0441">
              <w:rPr>
                <w:rFonts w:cs="Arial"/>
                <w:sz w:val="16"/>
                <w:szCs w:val="16"/>
              </w:rPr>
              <w:t>SMEs</w:t>
            </w:r>
            <w:proofErr w:type="spellEnd"/>
            <w:r w:rsidRPr="006E0441">
              <w:rPr>
                <w:rFonts w:cs="Arial"/>
                <w:sz w:val="16"/>
                <w:szCs w:val="16"/>
              </w:rPr>
              <w:t xml:space="preserve"> </w:t>
            </w:r>
            <w:proofErr w:type="spellStart"/>
            <w:r w:rsidRPr="006E0441">
              <w:rPr>
                <w:rFonts w:cs="Arial"/>
                <w:sz w:val="16"/>
                <w:szCs w:val="16"/>
              </w:rPr>
              <w:t>for</w:t>
            </w:r>
            <w:proofErr w:type="spellEnd"/>
            <w:r w:rsidRPr="006E0441">
              <w:rPr>
                <w:rFonts w:cs="Arial"/>
                <w:sz w:val="16"/>
                <w:szCs w:val="16"/>
              </w:rPr>
              <w:t xml:space="preserve"> </w:t>
            </w:r>
            <w:proofErr w:type="spellStart"/>
            <w:r w:rsidRPr="006E0441">
              <w:rPr>
                <w:rFonts w:cs="Arial"/>
                <w:sz w:val="16"/>
                <w:szCs w:val="16"/>
              </w:rPr>
              <w:t>working</w:t>
            </w:r>
            <w:proofErr w:type="spellEnd"/>
            <w:r w:rsidRPr="006E0441">
              <w:rPr>
                <w:rFonts w:cs="Arial"/>
                <w:sz w:val="16"/>
                <w:szCs w:val="16"/>
              </w:rPr>
              <w:t xml:space="preserve"> </w:t>
            </w:r>
            <w:proofErr w:type="spellStart"/>
            <w:r w:rsidRPr="006E0441">
              <w:rPr>
                <w:rFonts w:cs="Arial"/>
                <w:sz w:val="16"/>
                <w:szCs w:val="16"/>
              </w:rPr>
              <w:t>capital</w:t>
            </w:r>
            <w:proofErr w:type="spellEnd"/>
            <w:r w:rsidRPr="006E0441">
              <w:rPr>
                <w:rFonts w:cs="Arial"/>
                <w:sz w:val="16"/>
                <w:szCs w:val="16"/>
              </w:rPr>
              <w:t xml:space="preserve"> </w:t>
            </w:r>
            <w:proofErr w:type="spellStart"/>
            <w:r w:rsidRPr="006E0441">
              <w:rPr>
                <w:rFonts w:cs="Arial"/>
                <w:sz w:val="16"/>
                <w:szCs w:val="16"/>
              </w:rPr>
              <w:t>other</w:t>
            </w:r>
            <w:proofErr w:type="spellEnd"/>
            <w:r w:rsidRPr="006E0441">
              <w:rPr>
                <w:rFonts w:cs="Arial"/>
                <w:sz w:val="16"/>
                <w:szCs w:val="16"/>
              </w:rPr>
              <w:t xml:space="preserve"> </w:t>
            </w:r>
            <w:proofErr w:type="spellStart"/>
            <w:r w:rsidRPr="006E0441">
              <w:rPr>
                <w:rFonts w:cs="Arial"/>
                <w:sz w:val="16"/>
                <w:szCs w:val="16"/>
              </w:rPr>
              <w:t>than</w:t>
            </w:r>
            <w:proofErr w:type="spellEnd"/>
            <w:r w:rsidRPr="006E0441">
              <w:rPr>
                <w:rFonts w:cs="Arial"/>
                <w:sz w:val="16"/>
                <w:szCs w:val="16"/>
              </w:rPr>
              <w:t xml:space="preserve"> </w:t>
            </w:r>
            <w:proofErr w:type="spellStart"/>
            <w:r w:rsidRPr="006E0441">
              <w:rPr>
                <w:rFonts w:cs="Arial"/>
                <w:sz w:val="16"/>
                <w:szCs w:val="16"/>
              </w:rPr>
              <w:t>grants</w:t>
            </w:r>
            <w:proofErr w:type="spellEnd"/>
            <w:r w:rsidRPr="006E0441">
              <w:rPr>
                <w:rFonts w:cs="Arial"/>
                <w:sz w:val="16"/>
                <w:szCs w:val="16"/>
              </w:rPr>
              <w:t xml:space="preserve"> (</w:t>
            </w:r>
            <w:proofErr w:type="spellStart"/>
            <w:r w:rsidRPr="006E0441">
              <w:rPr>
                <w:rFonts w:cs="Arial"/>
                <w:sz w:val="16"/>
                <w:szCs w:val="16"/>
              </w:rPr>
              <w:t>financial</w:t>
            </w:r>
            <w:proofErr w:type="spellEnd"/>
            <w:r w:rsidRPr="006E0441">
              <w:rPr>
                <w:rFonts w:cs="Arial"/>
                <w:sz w:val="16"/>
                <w:szCs w:val="16"/>
              </w:rPr>
              <w:t xml:space="preserve"> </w:t>
            </w:r>
            <w:proofErr w:type="spellStart"/>
            <w:r w:rsidRPr="006E0441">
              <w:rPr>
                <w:rFonts w:cs="Arial"/>
                <w:sz w:val="16"/>
                <w:szCs w:val="16"/>
              </w:rPr>
              <w:t>instruments</w:t>
            </w:r>
            <w:proofErr w:type="spellEnd"/>
            <w:r w:rsidRPr="006E0441">
              <w:rPr>
                <w:rFonts w:cs="Arial"/>
                <w:sz w:val="16"/>
                <w:szCs w:val="16"/>
              </w:rPr>
              <w:t xml:space="preserve">) in COVID-19 </w:t>
            </w:r>
            <w:proofErr w:type="spellStart"/>
            <w:r w:rsidRPr="006E0441">
              <w:rPr>
                <w:rFonts w:cs="Arial"/>
                <w:sz w:val="16"/>
                <w:szCs w:val="16"/>
              </w:rPr>
              <w:t>response</w:t>
            </w:r>
            <w:proofErr w:type="spellEnd"/>
            <w:r w:rsidRPr="006E0441">
              <w:rPr>
                <w:rFonts w:cs="Arial"/>
                <w:sz w:val="16"/>
                <w:szCs w:val="16"/>
              </w:rPr>
              <w:t xml:space="preserve"> (total </w:t>
            </w:r>
            <w:proofErr w:type="spellStart"/>
            <w:r w:rsidRPr="006E0441">
              <w:rPr>
                <w:rFonts w:cs="Arial"/>
                <w:sz w:val="16"/>
                <w:szCs w:val="16"/>
              </w:rPr>
              <w:t>public</w:t>
            </w:r>
            <w:proofErr w:type="spellEnd"/>
            <w:r w:rsidRPr="006E0441">
              <w:rPr>
                <w:rFonts w:cs="Arial"/>
                <w:sz w:val="16"/>
                <w:szCs w:val="16"/>
              </w:rPr>
              <w:t xml:space="preserve"> </w:t>
            </w:r>
            <w:proofErr w:type="spellStart"/>
            <w:r w:rsidRPr="006E0441">
              <w:rPr>
                <w:rFonts w:cs="Arial"/>
                <w:sz w:val="16"/>
                <w:szCs w:val="16"/>
              </w:rPr>
              <w:t>cost</w:t>
            </w:r>
            <w:proofErr w:type="spellEnd"/>
            <w:r w:rsidRPr="006E0441">
              <w:rPr>
                <w:rFonts w:cs="Arial"/>
                <w:sz w:val="16"/>
                <w:szCs w:val="16"/>
              </w:rPr>
              <w:t>)</w:t>
            </w:r>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EUR</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ESRR</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 xml:space="preserve">Celotna </w:t>
            </w:r>
            <w:proofErr w:type="spellStart"/>
            <w:r w:rsidRPr="006E0441">
              <w:rPr>
                <w:rFonts w:cs="Arial"/>
                <w:sz w:val="16"/>
                <w:szCs w:val="16"/>
              </w:rPr>
              <w:t>slovenija</w:t>
            </w:r>
            <w:proofErr w:type="spellEnd"/>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62.500.000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Letno</w:t>
            </w:r>
          </w:p>
        </w:tc>
      </w:tr>
      <w:tr w:rsidR="00143F94" w:rsidRPr="006E0441" w:rsidTr="002C1732">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r w:rsidRPr="006E0441">
              <w:rPr>
                <w:rFonts w:cs="Arial"/>
                <w:sz w:val="16"/>
                <w:szCs w:val="16"/>
              </w:rPr>
              <w:t>CV22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proofErr w:type="spellStart"/>
            <w:r w:rsidRPr="006E0441">
              <w:rPr>
                <w:rFonts w:cs="Arial"/>
                <w:sz w:val="16"/>
                <w:szCs w:val="16"/>
              </w:rPr>
              <w:t>Number</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w:t>
            </w:r>
            <w:proofErr w:type="spellStart"/>
            <w:r w:rsidRPr="006E0441">
              <w:rPr>
                <w:rFonts w:cs="Arial"/>
                <w:sz w:val="16"/>
                <w:szCs w:val="16"/>
              </w:rPr>
              <w:t>SMEs</w:t>
            </w:r>
            <w:proofErr w:type="spellEnd"/>
            <w:r w:rsidRPr="006E0441">
              <w:rPr>
                <w:rFonts w:cs="Arial"/>
                <w:sz w:val="16"/>
                <w:szCs w:val="16"/>
              </w:rPr>
              <w:t xml:space="preserve"> </w:t>
            </w:r>
            <w:proofErr w:type="spellStart"/>
            <w:r w:rsidRPr="006E0441">
              <w:rPr>
                <w:rFonts w:cs="Arial"/>
                <w:sz w:val="16"/>
                <w:szCs w:val="16"/>
              </w:rPr>
              <w:t>supported</w:t>
            </w:r>
            <w:proofErr w:type="spellEnd"/>
            <w:r w:rsidRPr="006E0441">
              <w:rPr>
                <w:rFonts w:cs="Arial"/>
                <w:sz w:val="16"/>
                <w:szCs w:val="16"/>
              </w:rPr>
              <w:t xml:space="preserve"> </w:t>
            </w:r>
            <w:proofErr w:type="spellStart"/>
            <w:r w:rsidRPr="006E0441">
              <w:rPr>
                <w:rFonts w:cs="Arial"/>
                <w:sz w:val="16"/>
                <w:szCs w:val="16"/>
              </w:rPr>
              <w:t>with</w:t>
            </w:r>
            <w:proofErr w:type="spellEnd"/>
            <w:r w:rsidRPr="006E0441">
              <w:rPr>
                <w:rFonts w:cs="Arial"/>
                <w:sz w:val="16"/>
                <w:szCs w:val="16"/>
              </w:rPr>
              <w:t xml:space="preserve"> non-</w:t>
            </w:r>
            <w:proofErr w:type="spellStart"/>
            <w:r w:rsidRPr="006E0441">
              <w:rPr>
                <w:rFonts w:cs="Arial"/>
                <w:sz w:val="16"/>
                <w:szCs w:val="16"/>
              </w:rPr>
              <w:t>repayable</w:t>
            </w:r>
            <w:proofErr w:type="spellEnd"/>
            <w:r w:rsidRPr="006E0441">
              <w:rPr>
                <w:rFonts w:cs="Arial"/>
                <w:sz w:val="16"/>
                <w:szCs w:val="16"/>
              </w:rPr>
              <w:t xml:space="preserve"> </w:t>
            </w:r>
            <w:proofErr w:type="spellStart"/>
            <w:r w:rsidRPr="006E0441">
              <w:rPr>
                <w:rFonts w:cs="Arial"/>
                <w:sz w:val="16"/>
                <w:szCs w:val="16"/>
              </w:rPr>
              <w:t>financial</w:t>
            </w:r>
            <w:proofErr w:type="spellEnd"/>
            <w:r w:rsidRPr="006E0441">
              <w:rPr>
                <w:rFonts w:cs="Arial"/>
                <w:sz w:val="16"/>
                <w:szCs w:val="16"/>
              </w:rPr>
              <w:t xml:space="preserve"> </w:t>
            </w:r>
            <w:proofErr w:type="spellStart"/>
            <w:r w:rsidRPr="006E0441">
              <w:rPr>
                <w:rFonts w:cs="Arial"/>
                <w:sz w:val="16"/>
                <w:szCs w:val="16"/>
              </w:rPr>
              <w:t>support</w:t>
            </w:r>
            <w:proofErr w:type="spellEnd"/>
            <w:r w:rsidRPr="006E0441">
              <w:rPr>
                <w:rFonts w:cs="Arial"/>
                <w:sz w:val="16"/>
                <w:szCs w:val="16"/>
              </w:rPr>
              <w:t xml:space="preserve"> </w:t>
            </w:r>
            <w:proofErr w:type="spellStart"/>
            <w:r w:rsidRPr="006E0441">
              <w:rPr>
                <w:rFonts w:cs="Arial"/>
                <w:sz w:val="16"/>
                <w:szCs w:val="16"/>
              </w:rPr>
              <w:t>for</w:t>
            </w:r>
            <w:proofErr w:type="spellEnd"/>
            <w:r w:rsidRPr="006E0441">
              <w:rPr>
                <w:rFonts w:cs="Arial"/>
                <w:sz w:val="16"/>
                <w:szCs w:val="16"/>
              </w:rPr>
              <w:t xml:space="preserve"> </w:t>
            </w:r>
            <w:proofErr w:type="spellStart"/>
            <w:r w:rsidRPr="006E0441">
              <w:rPr>
                <w:rFonts w:cs="Arial"/>
                <w:sz w:val="16"/>
                <w:szCs w:val="16"/>
              </w:rPr>
              <w:t>working</w:t>
            </w:r>
            <w:proofErr w:type="spellEnd"/>
            <w:r w:rsidRPr="006E0441">
              <w:rPr>
                <w:rFonts w:cs="Arial"/>
                <w:sz w:val="16"/>
                <w:szCs w:val="16"/>
              </w:rPr>
              <w:t xml:space="preserve"> </w:t>
            </w:r>
            <w:proofErr w:type="spellStart"/>
            <w:r w:rsidRPr="006E0441">
              <w:rPr>
                <w:rFonts w:cs="Arial"/>
                <w:sz w:val="16"/>
                <w:szCs w:val="16"/>
              </w:rPr>
              <w:t>capital</w:t>
            </w:r>
            <w:proofErr w:type="spellEnd"/>
            <w:r w:rsidRPr="006E0441">
              <w:rPr>
                <w:rFonts w:cs="Arial"/>
                <w:sz w:val="16"/>
                <w:szCs w:val="16"/>
              </w:rPr>
              <w:t xml:space="preserve"> (</w:t>
            </w:r>
            <w:proofErr w:type="spellStart"/>
            <w:r w:rsidRPr="006E0441">
              <w:rPr>
                <w:rFonts w:cs="Arial"/>
                <w:sz w:val="16"/>
                <w:szCs w:val="16"/>
              </w:rPr>
              <w:t>grants</w:t>
            </w:r>
            <w:proofErr w:type="spellEnd"/>
            <w:r w:rsidRPr="006E0441">
              <w:rPr>
                <w:rFonts w:cs="Arial"/>
                <w:sz w:val="16"/>
                <w:szCs w:val="16"/>
              </w:rPr>
              <w:t xml:space="preserve">) in COVID-19 </w:t>
            </w:r>
            <w:proofErr w:type="spellStart"/>
            <w:r w:rsidRPr="006E0441">
              <w:rPr>
                <w:rFonts w:cs="Arial"/>
                <w:sz w:val="16"/>
                <w:szCs w:val="16"/>
              </w:rPr>
              <w:t>response</w:t>
            </w:r>
            <w:proofErr w:type="spellEnd"/>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število</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ESRR</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 xml:space="preserve">Celotna </w:t>
            </w:r>
            <w:proofErr w:type="spellStart"/>
            <w:r w:rsidRPr="006E0441">
              <w:rPr>
                <w:rFonts w:cs="Arial"/>
                <w:sz w:val="16"/>
                <w:szCs w:val="16"/>
              </w:rPr>
              <w:t>slovenija</w:t>
            </w:r>
            <w:proofErr w:type="spellEnd"/>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2.000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Letno</w:t>
            </w:r>
          </w:p>
        </w:tc>
      </w:tr>
      <w:tr w:rsidR="00143F94" w:rsidRPr="006E0441" w:rsidTr="002C1732">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r w:rsidRPr="006E0441">
              <w:rPr>
                <w:rFonts w:cs="Arial"/>
                <w:sz w:val="16"/>
                <w:szCs w:val="16"/>
              </w:rPr>
              <w:t>CV23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proofErr w:type="spellStart"/>
            <w:r w:rsidRPr="006E0441">
              <w:rPr>
                <w:rFonts w:cs="Arial"/>
                <w:sz w:val="16"/>
                <w:szCs w:val="16"/>
              </w:rPr>
              <w:t>Number</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w:t>
            </w:r>
            <w:proofErr w:type="spellStart"/>
            <w:r w:rsidRPr="006E0441">
              <w:rPr>
                <w:rFonts w:cs="Arial"/>
                <w:sz w:val="16"/>
                <w:szCs w:val="16"/>
              </w:rPr>
              <w:t>SMEs</w:t>
            </w:r>
            <w:proofErr w:type="spellEnd"/>
            <w:r w:rsidRPr="006E0441">
              <w:rPr>
                <w:rFonts w:cs="Arial"/>
                <w:sz w:val="16"/>
                <w:szCs w:val="16"/>
              </w:rPr>
              <w:t xml:space="preserve"> </w:t>
            </w:r>
            <w:proofErr w:type="spellStart"/>
            <w:r w:rsidRPr="006E0441">
              <w:rPr>
                <w:rFonts w:cs="Arial"/>
                <w:sz w:val="16"/>
                <w:szCs w:val="16"/>
              </w:rPr>
              <w:t>supported</w:t>
            </w:r>
            <w:proofErr w:type="spellEnd"/>
            <w:r w:rsidRPr="006E0441">
              <w:rPr>
                <w:rFonts w:cs="Arial"/>
                <w:sz w:val="16"/>
                <w:szCs w:val="16"/>
              </w:rPr>
              <w:t xml:space="preserve"> </w:t>
            </w:r>
            <w:proofErr w:type="spellStart"/>
            <w:r w:rsidRPr="006E0441">
              <w:rPr>
                <w:rFonts w:cs="Arial"/>
                <w:sz w:val="16"/>
                <w:szCs w:val="16"/>
              </w:rPr>
              <w:t>with</w:t>
            </w:r>
            <w:proofErr w:type="spellEnd"/>
            <w:r w:rsidRPr="006E0441">
              <w:rPr>
                <w:rFonts w:cs="Arial"/>
                <w:sz w:val="16"/>
                <w:szCs w:val="16"/>
              </w:rPr>
              <w:t xml:space="preserve"> </w:t>
            </w:r>
            <w:proofErr w:type="spellStart"/>
            <w:r w:rsidRPr="006E0441">
              <w:rPr>
                <w:rFonts w:cs="Arial"/>
                <w:sz w:val="16"/>
                <w:szCs w:val="16"/>
              </w:rPr>
              <w:t>working</w:t>
            </w:r>
            <w:proofErr w:type="spellEnd"/>
            <w:r w:rsidRPr="006E0441">
              <w:rPr>
                <w:rFonts w:cs="Arial"/>
                <w:sz w:val="16"/>
                <w:szCs w:val="16"/>
              </w:rPr>
              <w:t xml:space="preserve"> </w:t>
            </w:r>
            <w:proofErr w:type="spellStart"/>
            <w:r w:rsidRPr="006E0441">
              <w:rPr>
                <w:rFonts w:cs="Arial"/>
                <w:sz w:val="16"/>
                <w:szCs w:val="16"/>
              </w:rPr>
              <w:t>capital</w:t>
            </w:r>
            <w:proofErr w:type="spellEnd"/>
            <w:r w:rsidRPr="006E0441">
              <w:rPr>
                <w:rFonts w:cs="Arial"/>
                <w:sz w:val="16"/>
                <w:szCs w:val="16"/>
              </w:rPr>
              <w:t xml:space="preserve"> </w:t>
            </w:r>
            <w:proofErr w:type="spellStart"/>
            <w:r w:rsidRPr="006E0441">
              <w:rPr>
                <w:rFonts w:cs="Arial"/>
                <w:sz w:val="16"/>
                <w:szCs w:val="16"/>
              </w:rPr>
              <w:t>other</w:t>
            </w:r>
            <w:proofErr w:type="spellEnd"/>
            <w:r w:rsidRPr="006E0441">
              <w:rPr>
                <w:rFonts w:cs="Arial"/>
                <w:sz w:val="16"/>
                <w:szCs w:val="16"/>
              </w:rPr>
              <w:t xml:space="preserve"> </w:t>
            </w:r>
            <w:proofErr w:type="spellStart"/>
            <w:r w:rsidRPr="006E0441">
              <w:rPr>
                <w:rFonts w:cs="Arial"/>
                <w:sz w:val="16"/>
                <w:szCs w:val="16"/>
              </w:rPr>
              <w:t>than</w:t>
            </w:r>
            <w:proofErr w:type="spellEnd"/>
            <w:r w:rsidRPr="006E0441">
              <w:rPr>
                <w:rFonts w:cs="Arial"/>
                <w:sz w:val="16"/>
                <w:szCs w:val="16"/>
              </w:rPr>
              <w:t xml:space="preserve"> </w:t>
            </w:r>
            <w:proofErr w:type="spellStart"/>
            <w:r w:rsidRPr="006E0441">
              <w:rPr>
                <w:rFonts w:cs="Arial"/>
                <w:sz w:val="16"/>
                <w:szCs w:val="16"/>
              </w:rPr>
              <w:t>grants</w:t>
            </w:r>
            <w:proofErr w:type="spellEnd"/>
            <w:r w:rsidRPr="006E0441">
              <w:rPr>
                <w:rFonts w:cs="Arial"/>
                <w:sz w:val="16"/>
                <w:szCs w:val="16"/>
              </w:rPr>
              <w:t xml:space="preserve"> (</w:t>
            </w:r>
            <w:proofErr w:type="spellStart"/>
            <w:r w:rsidRPr="006E0441">
              <w:rPr>
                <w:rFonts w:cs="Arial"/>
                <w:sz w:val="16"/>
                <w:szCs w:val="16"/>
              </w:rPr>
              <w:t>financial</w:t>
            </w:r>
            <w:proofErr w:type="spellEnd"/>
            <w:r w:rsidRPr="006E0441">
              <w:rPr>
                <w:rFonts w:cs="Arial"/>
                <w:sz w:val="16"/>
                <w:szCs w:val="16"/>
              </w:rPr>
              <w:t xml:space="preserve"> </w:t>
            </w:r>
            <w:proofErr w:type="spellStart"/>
            <w:r w:rsidRPr="006E0441">
              <w:rPr>
                <w:rFonts w:cs="Arial"/>
                <w:sz w:val="16"/>
                <w:szCs w:val="16"/>
              </w:rPr>
              <w:t>instruments</w:t>
            </w:r>
            <w:proofErr w:type="spellEnd"/>
            <w:r w:rsidRPr="006E0441">
              <w:rPr>
                <w:rFonts w:cs="Arial"/>
                <w:sz w:val="16"/>
                <w:szCs w:val="16"/>
              </w:rPr>
              <w:t xml:space="preserve">) in COVID-19 </w:t>
            </w:r>
            <w:proofErr w:type="spellStart"/>
            <w:r w:rsidRPr="006E0441">
              <w:rPr>
                <w:rFonts w:cs="Arial"/>
                <w:sz w:val="16"/>
                <w:szCs w:val="16"/>
              </w:rPr>
              <w:t>response</w:t>
            </w:r>
            <w:proofErr w:type="spellEnd"/>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število</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ESRR</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 xml:space="preserve">Celotna </w:t>
            </w:r>
            <w:proofErr w:type="spellStart"/>
            <w:r w:rsidRPr="006E0441">
              <w:rPr>
                <w:rFonts w:cs="Arial"/>
                <w:sz w:val="16"/>
                <w:szCs w:val="16"/>
              </w:rPr>
              <w:t>slovenija</w:t>
            </w:r>
            <w:proofErr w:type="spellEnd"/>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1.500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Letno</w:t>
            </w:r>
          </w:p>
        </w:tc>
      </w:tr>
      <w:tr w:rsidR="00143F94" w:rsidRPr="006E0441" w:rsidTr="002C1732">
        <w:trPr>
          <w:trHeight w:val="371"/>
          <w:jc w:val="center"/>
        </w:trPr>
        <w:tc>
          <w:tcPr>
            <w:tcW w:w="8736" w:type="dxa"/>
            <w:gridSpan w:val="8"/>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ind w:right="440"/>
              <w:jc w:val="both"/>
              <w:rPr>
                <w:rFonts w:cs="Arial"/>
                <w:b/>
                <w:sz w:val="16"/>
                <w:szCs w:val="16"/>
              </w:rPr>
            </w:pPr>
            <w:r w:rsidRPr="006E0441">
              <w:rPr>
                <w:rFonts w:cs="Arial"/>
                <w:b/>
                <w:sz w:val="16"/>
                <w:szCs w:val="16"/>
              </w:rPr>
              <w:lastRenderedPageBreak/>
              <w:t>Prednostna os 8</w:t>
            </w:r>
          </w:p>
        </w:tc>
      </w:tr>
      <w:tr w:rsidR="00143F94" w:rsidRPr="006E0441" w:rsidTr="002C1732">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r w:rsidRPr="006E0441">
              <w:rPr>
                <w:rFonts w:cs="Arial"/>
                <w:sz w:val="16"/>
                <w:szCs w:val="16"/>
              </w:rPr>
              <w:t>CV31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proofErr w:type="spellStart"/>
            <w:r w:rsidRPr="006E0441">
              <w:rPr>
                <w:rFonts w:cs="Arial"/>
                <w:sz w:val="16"/>
                <w:szCs w:val="16"/>
              </w:rPr>
              <w:t>Number</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w:t>
            </w:r>
            <w:proofErr w:type="spellStart"/>
            <w:r w:rsidRPr="006E0441">
              <w:rPr>
                <w:rFonts w:cs="Arial"/>
                <w:sz w:val="16"/>
                <w:szCs w:val="16"/>
              </w:rPr>
              <w:t>participants</w:t>
            </w:r>
            <w:proofErr w:type="spellEnd"/>
            <w:r w:rsidRPr="006E0441">
              <w:rPr>
                <w:rFonts w:cs="Arial"/>
                <w:sz w:val="16"/>
                <w:szCs w:val="16"/>
              </w:rPr>
              <w:t xml:space="preserve"> </w:t>
            </w:r>
            <w:proofErr w:type="spellStart"/>
            <w:r w:rsidRPr="006E0441">
              <w:rPr>
                <w:rFonts w:cs="Arial"/>
                <w:sz w:val="16"/>
                <w:szCs w:val="16"/>
              </w:rPr>
              <w:t>supported</w:t>
            </w:r>
            <w:proofErr w:type="spellEnd"/>
            <w:r w:rsidRPr="006E0441">
              <w:rPr>
                <w:rFonts w:cs="Arial"/>
                <w:sz w:val="16"/>
                <w:szCs w:val="16"/>
              </w:rPr>
              <w:t xml:space="preserve"> in </w:t>
            </w:r>
            <w:proofErr w:type="spellStart"/>
            <w:r w:rsidRPr="006E0441">
              <w:rPr>
                <w:rFonts w:cs="Arial"/>
                <w:sz w:val="16"/>
                <w:szCs w:val="16"/>
              </w:rPr>
              <w:t>combating</w:t>
            </w:r>
            <w:proofErr w:type="spellEnd"/>
            <w:r w:rsidRPr="006E0441">
              <w:rPr>
                <w:rFonts w:cs="Arial"/>
                <w:sz w:val="16"/>
                <w:szCs w:val="16"/>
              </w:rPr>
              <w:t xml:space="preserve"> </w:t>
            </w:r>
            <w:proofErr w:type="spellStart"/>
            <w:r w:rsidRPr="006E0441">
              <w:rPr>
                <w:rFonts w:cs="Arial"/>
                <w:sz w:val="16"/>
                <w:szCs w:val="16"/>
              </w:rPr>
              <w:t>or</w:t>
            </w:r>
            <w:proofErr w:type="spellEnd"/>
            <w:r w:rsidRPr="006E0441">
              <w:rPr>
                <w:rFonts w:cs="Arial"/>
                <w:sz w:val="16"/>
                <w:szCs w:val="16"/>
              </w:rPr>
              <w:t xml:space="preserve"> </w:t>
            </w:r>
            <w:proofErr w:type="spellStart"/>
            <w:r w:rsidRPr="006E0441">
              <w:rPr>
                <w:rFonts w:cs="Arial"/>
                <w:sz w:val="16"/>
                <w:szCs w:val="16"/>
              </w:rPr>
              <w:t>counteracting</w:t>
            </w:r>
            <w:proofErr w:type="spellEnd"/>
            <w:r w:rsidRPr="006E0441">
              <w:rPr>
                <w:rFonts w:cs="Arial"/>
                <w:sz w:val="16"/>
                <w:szCs w:val="16"/>
              </w:rPr>
              <w:t xml:space="preserve"> </w:t>
            </w:r>
            <w:proofErr w:type="spellStart"/>
            <w:r w:rsidRPr="006E0441">
              <w:rPr>
                <w:rFonts w:cs="Arial"/>
                <w:sz w:val="16"/>
                <w:szCs w:val="16"/>
              </w:rPr>
              <w:t>the</w:t>
            </w:r>
            <w:proofErr w:type="spellEnd"/>
            <w:r w:rsidRPr="006E0441">
              <w:rPr>
                <w:rFonts w:cs="Arial"/>
                <w:sz w:val="16"/>
                <w:szCs w:val="16"/>
              </w:rPr>
              <w:t xml:space="preserve"> </w:t>
            </w:r>
            <w:proofErr w:type="spellStart"/>
            <w:r w:rsidRPr="006E0441">
              <w:rPr>
                <w:rFonts w:cs="Arial"/>
                <w:sz w:val="16"/>
                <w:szCs w:val="16"/>
              </w:rPr>
              <w:t>effects</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w:t>
            </w:r>
            <w:proofErr w:type="spellStart"/>
            <w:r w:rsidRPr="006E0441">
              <w:rPr>
                <w:rFonts w:cs="Arial"/>
                <w:sz w:val="16"/>
                <w:szCs w:val="16"/>
              </w:rPr>
              <w:t>the</w:t>
            </w:r>
            <w:proofErr w:type="spellEnd"/>
            <w:r w:rsidRPr="006E0441">
              <w:rPr>
                <w:rFonts w:cs="Arial"/>
                <w:sz w:val="16"/>
                <w:szCs w:val="16"/>
              </w:rPr>
              <w:t xml:space="preserve"> COVID-19 </w:t>
            </w:r>
            <w:proofErr w:type="spellStart"/>
            <w:r w:rsidRPr="006E0441">
              <w:rPr>
                <w:rFonts w:cs="Arial"/>
                <w:sz w:val="16"/>
                <w:szCs w:val="16"/>
              </w:rPr>
              <w:t>pandemic</w:t>
            </w:r>
            <w:proofErr w:type="spellEnd"/>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število</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ESS</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 xml:space="preserve">Celotna </w:t>
            </w:r>
            <w:proofErr w:type="spellStart"/>
            <w:r w:rsidRPr="006E0441">
              <w:rPr>
                <w:rFonts w:cs="Arial"/>
                <w:sz w:val="16"/>
                <w:szCs w:val="16"/>
              </w:rPr>
              <w:t>slovenija</w:t>
            </w:r>
            <w:proofErr w:type="spellEnd"/>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39.000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Letno</w:t>
            </w:r>
          </w:p>
        </w:tc>
      </w:tr>
      <w:tr w:rsidR="00143F94" w:rsidRPr="006E0441" w:rsidTr="002C1732">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r w:rsidRPr="006E0441">
              <w:rPr>
                <w:rFonts w:cs="Arial"/>
                <w:sz w:val="16"/>
                <w:szCs w:val="16"/>
              </w:rPr>
              <w:t>CVR2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proofErr w:type="spellStart"/>
            <w:r w:rsidRPr="006E0441">
              <w:rPr>
                <w:rFonts w:cs="Arial"/>
                <w:sz w:val="16"/>
                <w:szCs w:val="16"/>
              </w:rPr>
              <w:t>Number</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w:t>
            </w:r>
            <w:proofErr w:type="spellStart"/>
            <w:r w:rsidRPr="006E0441">
              <w:rPr>
                <w:rFonts w:cs="Arial"/>
                <w:sz w:val="16"/>
                <w:szCs w:val="16"/>
              </w:rPr>
              <w:t>participants</w:t>
            </w:r>
            <w:proofErr w:type="spellEnd"/>
            <w:r w:rsidRPr="006E0441">
              <w:rPr>
                <w:rFonts w:cs="Arial"/>
                <w:sz w:val="16"/>
                <w:szCs w:val="16"/>
              </w:rPr>
              <w:t xml:space="preserve"> </w:t>
            </w:r>
            <w:proofErr w:type="spellStart"/>
            <w:r w:rsidRPr="006E0441">
              <w:rPr>
                <w:rFonts w:cs="Arial"/>
                <w:sz w:val="16"/>
                <w:szCs w:val="16"/>
              </w:rPr>
              <w:t>gaining</w:t>
            </w:r>
            <w:proofErr w:type="spellEnd"/>
            <w:r w:rsidRPr="006E0441">
              <w:rPr>
                <w:rFonts w:cs="Arial"/>
                <w:sz w:val="16"/>
                <w:szCs w:val="16"/>
              </w:rPr>
              <w:t xml:space="preserve"> a </w:t>
            </w:r>
            <w:proofErr w:type="spellStart"/>
            <w:r w:rsidRPr="006E0441">
              <w:rPr>
                <w:rFonts w:cs="Arial"/>
                <w:sz w:val="16"/>
                <w:szCs w:val="16"/>
              </w:rPr>
              <w:t>qualification</w:t>
            </w:r>
            <w:proofErr w:type="spellEnd"/>
            <w:r w:rsidRPr="006E0441">
              <w:rPr>
                <w:rFonts w:cs="Arial"/>
                <w:sz w:val="16"/>
                <w:szCs w:val="16"/>
              </w:rPr>
              <w:t xml:space="preserve"> </w:t>
            </w:r>
            <w:proofErr w:type="spellStart"/>
            <w:r w:rsidRPr="006E0441">
              <w:rPr>
                <w:rFonts w:cs="Arial"/>
                <w:sz w:val="16"/>
                <w:szCs w:val="16"/>
              </w:rPr>
              <w:t>upon</w:t>
            </w:r>
            <w:proofErr w:type="spellEnd"/>
            <w:r w:rsidRPr="006E0441">
              <w:rPr>
                <w:rFonts w:cs="Arial"/>
                <w:sz w:val="16"/>
                <w:szCs w:val="16"/>
              </w:rPr>
              <w:t xml:space="preserve"> </w:t>
            </w:r>
            <w:proofErr w:type="spellStart"/>
            <w:r w:rsidRPr="006E0441">
              <w:rPr>
                <w:rFonts w:cs="Arial"/>
                <w:sz w:val="16"/>
                <w:szCs w:val="16"/>
              </w:rPr>
              <w:t>leaving</w:t>
            </w:r>
            <w:proofErr w:type="spellEnd"/>
            <w:r w:rsidRPr="006E0441">
              <w:rPr>
                <w:rFonts w:cs="Arial"/>
                <w:sz w:val="16"/>
                <w:szCs w:val="16"/>
              </w:rPr>
              <w:t xml:space="preserve"> </w:t>
            </w:r>
            <w:proofErr w:type="spellStart"/>
            <w:r w:rsidRPr="006E0441">
              <w:rPr>
                <w:rFonts w:cs="Arial"/>
                <w:sz w:val="16"/>
                <w:szCs w:val="16"/>
              </w:rPr>
              <w:t>supported</w:t>
            </w:r>
            <w:proofErr w:type="spellEnd"/>
            <w:r w:rsidRPr="006E0441">
              <w:rPr>
                <w:rFonts w:cs="Arial"/>
                <w:sz w:val="16"/>
                <w:szCs w:val="16"/>
              </w:rPr>
              <w:t xml:space="preserve"> in </w:t>
            </w:r>
            <w:proofErr w:type="spellStart"/>
            <w:r w:rsidRPr="006E0441">
              <w:rPr>
                <w:rFonts w:cs="Arial"/>
                <w:sz w:val="16"/>
                <w:szCs w:val="16"/>
              </w:rPr>
              <w:t>actions</w:t>
            </w:r>
            <w:proofErr w:type="spellEnd"/>
            <w:r w:rsidRPr="006E0441">
              <w:rPr>
                <w:rFonts w:cs="Arial"/>
                <w:sz w:val="16"/>
                <w:szCs w:val="16"/>
              </w:rPr>
              <w:t xml:space="preserve"> </w:t>
            </w:r>
            <w:proofErr w:type="spellStart"/>
            <w:r w:rsidRPr="006E0441">
              <w:rPr>
                <w:rFonts w:cs="Arial"/>
                <w:sz w:val="16"/>
                <w:szCs w:val="16"/>
              </w:rPr>
              <w:t>combatting</w:t>
            </w:r>
            <w:proofErr w:type="spellEnd"/>
            <w:r w:rsidRPr="006E0441">
              <w:rPr>
                <w:rFonts w:cs="Arial"/>
                <w:sz w:val="16"/>
                <w:szCs w:val="16"/>
              </w:rPr>
              <w:t xml:space="preserve"> </w:t>
            </w:r>
            <w:proofErr w:type="spellStart"/>
            <w:r w:rsidRPr="006E0441">
              <w:rPr>
                <w:rFonts w:cs="Arial"/>
                <w:sz w:val="16"/>
                <w:szCs w:val="16"/>
              </w:rPr>
              <w:t>the</w:t>
            </w:r>
            <w:proofErr w:type="spellEnd"/>
            <w:r w:rsidRPr="006E0441">
              <w:rPr>
                <w:rFonts w:cs="Arial"/>
                <w:sz w:val="16"/>
                <w:szCs w:val="16"/>
              </w:rPr>
              <w:t xml:space="preserve"> </w:t>
            </w:r>
            <w:proofErr w:type="spellStart"/>
            <w:r w:rsidRPr="006E0441">
              <w:rPr>
                <w:rFonts w:cs="Arial"/>
                <w:sz w:val="16"/>
                <w:szCs w:val="16"/>
              </w:rPr>
              <w:t>effects</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w:t>
            </w:r>
            <w:proofErr w:type="spellStart"/>
            <w:r w:rsidRPr="006E0441">
              <w:rPr>
                <w:rFonts w:cs="Arial"/>
                <w:sz w:val="16"/>
                <w:szCs w:val="16"/>
              </w:rPr>
              <w:t>the</w:t>
            </w:r>
            <w:proofErr w:type="spellEnd"/>
            <w:r w:rsidRPr="006E0441">
              <w:rPr>
                <w:rFonts w:cs="Arial"/>
                <w:sz w:val="16"/>
                <w:szCs w:val="16"/>
              </w:rPr>
              <w:t xml:space="preserve"> COVID-19 </w:t>
            </w:r>
            <w:proofErr w:type="spellStart"/>
            <w:r w:rsidRPr="006E0441">
              <w:rPr>
                <w:rFonts w:cs="Arial"/>
                <w:sz w:val="16"/>
                <w:szCs w:val="16"/>
              </w:rPr>
              <w:t>pandemic</w:t>
            </w:r>
            <w:proofErr w:type="spellEnd"/>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število</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ESS</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 xml:space="preserve">Celotna </w:t>
            </w:r>
            <w:proofErr w:type="spellStart"/>
            <w:r w:rsidRPr="006E0441">
              <w:rPr>
                <w:rFonts w:cs="Arial"/>
                <w:sz w:val="16"/>
                <w:szCs w:val="16"/>
              </w:rPr>
              <w:t>slovenija</w:t>
            </w:r>
            <w:proofErr w:type="spellEnd"/>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18.000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Letno</w:t>
            </w:r>
          </w:p>
        </w:tc>
      </w:tr>
      <w:tr w:rsidR="00143F94" w:rsidRPr="006E0441" w:rsidTr="002C1732">
        <w:trPr>
          <w:trHeight w:val="371"/>
          <w:jc w:val="center"/>
        </w:trPr>
        <w:tc>
          <w:tcPr>
            <w:tcW w:w="8736" w:type="dxa"/>
            <w:gridSpan w:val="8"/>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ind w:right="440"/>
              <w:jc w:val="both"/>
              <w:rPr>
                <w:rFonts w:cs="Arial"/>
                <w:b/>
                <w:sz w:val="16"/>
                <w:szCs w:val="16"/>
              </w:rPr>
            </w:pPr>
            <w:r w:rsidRPr="006E0441">
              <w:rPr>
                <w:rFonts w:cs="Arial"/>
                <w:b/>
                <w:sz w:val="16"/>
                <w:szCs w:val="16"/>
              </w:rPr>
              <w:t>Prednostna os 9</w:t>
            </w:r>
          </w:p>
        </w:tc>
      </w:tr>
      <w:tr w:rsidR="00636224" w:rsidRPr="006E0441" w:rsidTr="002C1732">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636224" w:rsidRPr="006E0441" w:rsidRDefault="00636224" w:rsidP="00636224">
            <w:pPr>
              <w:spacing w:line="240" w:lineRule="auto"/>
              <w:rPr>
                <w:rFonts w:cs="Arial"/>
                <w:sz w:val="16"/>
                <w:szCs w:val="16"/>
              </w:rPr>
            </w:pPr>
            <w:r w:rsidRPr="006E0441">
              <w:rPr>
                <w:rFonts w:cs="Arial"/>
                <w:sz w:val="16"/>
                <w:szCs w:val="16"/>
              </w:rPr>
              <w:t xml:space="preserve">CV2*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636224" w:rsidRPr="006E0441" w:rsidRDefault="00636224" w:rsidP="00636224">
            <w:pPr>
              <w:spacing w:line="240" w:lineRule="auto"/>
              <w:rPr>
                <w:rFonts w:cs="Arial"/>
                <w:sz w:val="16"/>
                <w:szCs w:val="16"/>
              </w:rPr>
            </w:pPr>
            <w:proofErr w:type="spellStart"/>
            <w:r w:rsidRPr="006E0441">
              <w:rPr>
                <w:rFonts w:cs="Arial"/>
                <w:sz w:val="16"/>
                <w:szCs w:val="16"/>
              </w:rPr>
              <w:t>Value</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w:t>
            </w:r>
            <w:proofErr w:type="spellStart"/>
            <w:r w:rsidRPr="006E0441">
              <w:rPr>
                <w:rFonts w:cs="Arial"/>
                <w:sz w:val="16"/>
                <w:szCs w:val="16"/>
              </w:rPr>
              <w:t>medical</w:t>
            </w:r>
            <w:proofErr w:type="spellEnd"/>
            <w:r w:rsidRPr="006E0441">
              <w:rPr>
                <w:rFonts w:cs="Arial"/>
                <w:sz w:val="16"/>
                <w:szCs w:val="16"/>
              </w:rPr>
              <w:t xml:space="preserve"> </w:t>
            </w:r>
            <w:proofErr w:type="spellStart"/>
            <w:r w:rsidRPr="006E0441">
              <w:rPr>
                <w:rFonts w:cs="Arial"/>
                <w:sz w:val="16"/>
                <w:szCs w:val="16"/>
              </w:rPr>
              <w:t>equipment</w:t>
            </w:r>
            <w:proofErr w:type="spellEnd"/>
            <w:r w:rsidRPr="006E0441">
              <w:rPr>
                <w:rFonts w:cs="Arial"/>
                <w:sz w:val="16"/>
                <w:szCs w:val="16"/>
              </w:rPr>
              <w:t xml:space="preserve"> </w:t>
            </w:r>
            <w:proofErr w:type="spellStart"/>
            <w:r w:rsidRPr="006E0441">
              <w:rPr>
                <w:rFonts w:cs="Arial"/>
                <w:sz w:val="16"/>
                <w:szCs w:val="16"/>
              </w:rPr>
              <w:t>purchased</w:t>
            </w:r>
            <w:proofErr w:type="spellEnd"/>
            <w:r w:rsidRPr="006E0441">
              <w:rPr>
                <w:rFonts w:cs="Arial"/>
                <w:sz w:val="16"/>
                <w:szCs w:val="16"/>
              </w:rPr>
              <w:t xml:space="preserve"> (</w:t>
            </w:r>
            <w:proofErr w:type="spellStart"/>
            <w:r w:rsidRPr="006E0441">
              <w:rPr>
                <w:rFonts w:cs="Arial"/>
                <w:sz w:val="16"/>
                <w:szCs w:val="16"/>
              </w:rPr>
              <w:t>ventilators</w:t>
            </w:r>
            <w:proofErr w:type="spellEnd"/>
            <w:r w:rsidRPr="006E0441">
              <w:rPr>
                <w:rFonts w:cs="Arial"/>
                <w:sz w:val="16"/>
                <w:szCs w:val="16"/>
              </w:rPr>
              <w:t xml:space="preserve">, </w:t>
            </w:r>
            <w:proofErr w:type="spellStart"/>
            <w:r w:rsidRPr="006E0441">
              <w:rPr>
                <w:rFonts w:cs="Arial"/>
                <w:sz w:val="16"/>
                <w:szCs w:val="16"/>
              </w:rPr>
              <w:t>beds</w:t>
            </w:r>
            <w:proofErr w:type="spellEnd"/>
            <w:r w:rsidRPr="006E0441">
              <w:rPr>
                <w:rFonts w:cs="Arial"/>
                <w:sz w:val="16"/>
                <w:szCs w:val="16"/>
              </w:rPr>
              <w:t xml:space="preserve">, </w:t>
            </w:r>
            <w:proofErr w:type="spellStart"/>
            <w:r w:rsidRPr="006E0441">
              <w:rPr>
                <w:rFonts w:cs="Arial"/>
                <w:sz w:val="16"/>
                <w:szCs w:val="16"/>
              </w:rPr>
              <w:t>monitors</w:t>
            </w:r>
            <w:proofErr w:type="spellEnd"/>
            <w:r w:rsidRPr="006E0441">
              <w:rPr>
                <w:rFonts w:cs="Arial"/>
                <w:sz w:val="16"/>
                <w:szCs w:val="16"/>
              </w:rPr>
              <w:t xml:space="preserve">, </w:t>
            </w:r>
            <w:proofErr w:type="spellStart"/>
            <w:r w:rsidRPr="006E0441">
              <w:rPr>
                <w:rFonts w:cs="Arial"/>
                <w:sz w:val="16"/>
                <w:szCs w:val="16"/>
              </w:rPr>
              <w:t>etc</w:t>
            </w:r>
            <w:proofErr w:type="spellEnd"/>
            <w:r w:rsidRPr="006E0441">
              <w:rPr>
                <w:rFonts w:cs="Arial"/>
                <w:sz w:val="16"/>
                <w:szCs w:val="16"/>
              </w:rPr>
              <w:t xml:space="preserve">.) (total </w:t>
            </w:r>
            <w:proofErr w:type="spellStart"/>
            <w:r w:rsidRPr="006E0441">
              <w:rPr>
                <w:rFonts w:cs="Arial"/>
                <w:sz w:val="16"/>
                <w:szCs w:val="16"/>
              </w:rPr>
              <w:t>public</w:t>
            </w:r>
            <w:proofErr w:type="spellEnd"/>
            <w:r w:rsidRPr="006E0441">
              <w:rPr>
                <w:rFonts w:cs="Arial"/>
                <w:sz w:val="16"/>
                <w:szCs w:val="16"/>
              </w:rPr>
              <w:t xml:space="preserve"> </w:t>
            </w:r>
            <w:proofErr w:type="spellStart"/>
            <w:r w:rsidRPr="006E0441">
              <w:rPr>
                <w:rFonts w:cs="Arial"/>
                <w:sz w:val="16"/>
                <w:szCs w:val="16"/>
              </w:rPr>
              <w:t>cost</w:t>
            </w:r>
            <w:proofErr w:type="spellEnd"/>
            <w:r w:rsidRPr="006E0441">
              <w:rPr>
                <w:rFonts w:cs="Arial"/>
                <w:sz w:val="16"/>
                <w:szCs w:val="16"/>
              </w:rPr>
              <w:t xml:space="preserve">) </w:t>
            </w:r>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EUR</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F96696">
            <w:pPr>
              <w:spacing w:line="240" w:lineRule="auto"/>
              <w:jc w:val="center"/>
              <w:rPr>
                <w:rFonts w:cs="Arial"/>
                <w:sz w:val="16"/>
                <w:szCs w:val="16"/>
              </w:rPr>
            </w:pPr>
            <w:r w:rsidRPr="006E0441">
              <w:rPr>
                <w:rFonts w:cs="Arial"/>
                <w:sz w:val="16"/>
                <w:szCs w:val="16"/>
              </w:rPr>
              <w:t>ESS</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Celotna Slovenija</w:t>
            </w:r>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20.000.000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Letno</w:t>
            </w:r>
          </w:p>
        </w:tc>
      </w:tr>
      <w:tr w:rsidR="00636224" w:rsidRPr="006E0441" w:rsidTr="00814F56">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636224" w:rsidRPr="006E0441" w:rsidRDefault="00636224" w:rsidP="00636224">
            <w:pPr>
              <w:spacing w:line="240" w:lineRule="auto"/>
              <w:rPr>
                <w:rFonts w:cs="Arial"/>
                <w:sz w:val="16"/>
                <w:szCs w:val="16"/>
              </w:rPr>
            </w:pPr>
            <w:r w:rsidRPr="006E0441">
              <w:rPr>
                <w:rFonts w:cs="Arial"/>
                <w:sz w:val="16"/>
                <w:szCs w:val="16"/>
              </w:rPr>
              <w:t>CV8</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636224" w:rsidRPr="006E0441" w:rsidRDefault="00636224" w:rsidP="00636224">
            <w:pPr>
              <w:pStyle w:val="Default"/>
              <w:rPr>
                <w:rFonts w:asciiTheme="minorHAnsi" w:hAnsiTheme="minorHAnsi" w:cs="Arial"/>
                <w:color w:val="auto"/>
                <w:sz w:val="16"/>
                <w:szCs w:val="16"/>
              </w:rPr>
            </w:pPr>
            <w:proofErr w:type="spellStart"/>
            <w:r w:rsidRPr="006E0441">
              <w:rPr>
                <w:rFonts w:asciiTheme="minorHAnsi" w:hAnsiTheme="minorHAnsi" w:cs="Arial"/>
                <w:color w:val="auto"/>
                <w:sz w:val="16"/>
                <w:szCs w:val="16"/>
              </w:rPr>
              <w:t>Additional</w:t>
            </w:r>
            <w:proofErr w:type="spellEnd"/>
            <w:r w:rsidRPr="006E0441">
              <w:rPr>
                <w:rFonts w:asciiTheme="minorHAnsi" w:hAnsiTheme="minorHAnsi" w:cs="Arial"/>
                <w:color w:val="auto"/>
                <w:sz w:val="16"/>
                <w:szCs w:val="16"/>
              </w:rPr>
              <w:t xml:space="preserve"> bed </w:t>
            </w:r>
            <w:proofErr w:type="spellStart"/>
            <w:r w:rsidRPr="006E0441">
              <w:rPr>
                <w:rFonts w:asciiTheme="minorHAnsi" w:hAnsiTheme="minorHAnsi" w:cs="Arial"/>
                <w:color w:val="auto"/>
                <w:sz w:val="16"/>
                <w:szCs w:val="16"/>
              </w:rPr>
              <w:t>space</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created</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for</w:t>
            </w:r>
            <w:proofErr w:type="spellEnd"/>
            <w:r w:rsidRPr="006E0441">
              <w:rPr>
                <w:rFonts w:asciiTheme="minorHAnsi" w:hAnsiTheme="minorHAnsi" w:cs="Arial"/>
                <w:color w:val="auto"/>
                <w:sz w:val="16"/>
                <w:szCs w:val="16"/>
              </w:rPr>
              <w:t xml:space="preserve"> COVID-19 </w:t>
            </w:r>
            <w:proofErr w:type="spellStart"/>
            <w:r w:rsidRPr="006E0441">
              <w:rPr>
                <w:rFonts w:asciiTheme="minorHAnsi" w:hAnsiTheme="minorHAnsi" w:cs="Arial"/>
                <w:color w:val="auto"/>
                <w:sz w:val="16"/>
                <w:szCs w:val="16"/>
              </w:rPr>
              <w:t>patients</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Including</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acute</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and</w:t>
            </w:r>
            <w:proofErr w:type="spellEnd"/>
            <w:r w:rsidRPr="006E0441">
              <w:rPr>
                <w:rFonts w:asciiTheme="minorHAnsi" w:hAnsiTheme="minorHAnsi" w:cs="Arial"/>
                <w:color w:val="auto"/>
                <w:sz w:val="16"/>
                <w:szCs w:val="16"/>
              </w:rPr>
              <w:t xml:space="preserve"> ICU </w:t>
            </w:r>
            <w:proofErr w:type="spellStart"/>
            <w:r w:rsidRPr="006E0441">
              <w:rPr>
                <w:rFonts w:asciiTheme="minorHAnsi" w:hAnsiTheme="minorHAnsi" w:cs="Arial"/>
                <w:color w:val="auto"/>
                <w:sz w:val="16"/>
                <w:szCs w:val="16"/>
              </w:rPr>
              <w:t>beds</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also</w:t>
            </w:r>
            <w:proofErr w:type="spellEnd"/>
            <w:r w:rsidRPr="006E0441">
              <w:rPr>
                <w:rFonts w:asciiTheme="minorHAnsi" w:hAnsiTheme="minorHAnsi" w:cs="Arial"/>
                <w:color w:val="auto"/>
                <w:sz w:val="16"/>
                <w:szCs w:val="16"/>
              </w:rPr>
              <w:t xml:space="preserve"> in </w:t>
            </w:r>
            <w:proofErr w:type="spellStart"/>
            <w:r w:rsidRPr="006E0441">
              <w:rPr>
                <w:rFonts w:asciiTheme="minorHAnsi" w:hAnsiTheme="minorHAnsi" w:cs="Arial"/>
                <w:color w:val="auto"/>
                <w:sz w:val="16"/>
                <w:szCs w:val="16"/>
              </w:rPr>
              <w:t>field</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hospitals</w:t>
            </w:r>
            <w:proofErr w:type="spellEnd"/>
            <w:r w:rsidRPr="006E0441">
              <w:rPr>
                <w:rFonts w:asciiTheme="minorHAnsi" w:hAnsiTheme="minorHAnsi" w:cs="Arial"/>
                <w:color w:val="auto"/>
                <w:sz w:val="16"/>
                <w:szCs w:val="16"/>
              </w:rPr>
              <w:t xml:space="preserve">) </w:t>
            </w:r>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število</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ESRR</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636224" w:rsidRPr="006E0441" w:rsidRDefault="00636224" w:rsidP="00636224">
            <w:pPr>
              <w:spacing w:line="240" w:lineRule="auto"/>
              <w:jc w:val="center"/>
              <w:rPr>
                <w:rFonts w:cs="Arial"/>
                <w:sz w:val="16"/>
                <w:szCs w:val="16"/>
              </w:rPr>
            </w:pPr>
            <w:r w:rsidRPr="006E0441">
              <w:rPr>
                <w:rFonts w:cs="Arial"/>
                <w:sz w:val="16"/>
                <w:szCs w:val="16"/>
              </w:rPr>
              <w:t>Celotna Slovenija</w:t>
            </w:r>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40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Letno</w:t>
            </w:r>
          </w:p>
        </w:tc>
      </w:tr>
      <w:tr w:rsidR="00636224" w:rsidRPr="006E0441" w:rsidTr="00814F56">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636224" w:rsidRPr="006E0441" w:rsidRDefault="00636224" w:rsidP="00636224">
            <w:pPr>
              <w:spacing w:line="240" w:lineRule="auto"/>
              <w:rPr>
                <w:rFonts w:cs="Arial"/>
                <w:sz w:val="16"/>
                <w:szCs w:val="16"/>
              </w:rPr>
            </w:pPr>
            <w:r w:rsidRPr="006E0441">
              <w:rPr>
                <w:rFonts w:cs="Arial"/>
                <w:sz w:val="16"/>
                <w:szCs w:val="16"/>
              </w:rPr>
              <w:t>CV30</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636224" w:rsidRPr="006E0441" w:rsidRDefault="00636224" w:rsidP="00636224">
            <w:pPr>
              <w:spacing w:line="240" w:lineRule="auto"/>
              <w:rPr>
                <w:rFonts w:cs="Arial"/>
                <w:sz w:val="16"/>
                <w:szCs w:val="16"/>
              </w:rPr>
            </w:pPr>
            <w:proofErr w:type="spellStart"/>
            <w:r w:rsidRPr="006E0441">
              <w:rPr>
                <w:rFonts w:cs="Arial"/>
                <w:sz w:val="16"/>
                <w:szCs w:val="16"/>
              </w:rPr>
              <w:t>Value</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ESF </w:t>
            </w:r>
            <w:proofErr w:type="spellStart"/>
            <w:r w:rsidRPr="006E0441">
              <w:rPr>
                <w:rFonts w:cs="Arial"/>
                <w:sz w:val="16"/>
                <w:szCs w:val="16"/>
              </w:rPr>
              <w:t>actions</w:t>
            </w:r>
            <w:proofErr w:type="spellEnd"/>
            <w:r w:rsidRPr="006E0441">
              <w:rPr>
                <w:rFonts w:cs="Arial"/>
                <w:sz w:val="16"/>
                <w:szCs w:val="16"/>
              </w:rPr>
              <w:t xml:space="preserve"> to </w:t>
            </w:r>
            <w:proofErr w:type="spellStart"/>
            <w:r w:rsidRPr="006E0441">
              <w:rPr>
                <w:rFonts w:cs="Arial"/>
                <w:sz w:val="16"/>
                <w:szCs w:val="16"/>
              </w:rPr>
              <w:t>combat</w:t>
            </w:r>
            <w:proofErr w:type="spellEnd"/>
            <w:r w:rsidRPr="006E0441">
              <w:rPr>
                <w:rFonts w:cs="Arial"/>
                <w:sz w:val="16"/>
                <w:szCs w:val="16"/>
              </w:rPr>
              <w:t xml:space="preserve"> </w:t>
            </w:r>
            <w:proofErr w:type="spellStart"/>
            <w:r w:rsidRPr="006E0441">
              <w:rPr>
                <w:rFonts w:cs="Arial"/>
                <w:sz w:val="16"/>
                <w:szCs w:val="16"/>
              </w:rPr>
              <w:t>or</w:t>
            </w:r>
            <w:proofErr w:type="spellEnd"/>
            <w:r w:rsidRPr="006E0441">
              <w:rPr>
                <w:rFonts w:cs="Arial"/>
                <w:sz w:val="16"/>
                <w:szCs w:val="16"/>
              </w:rPr>
              <w:t xml:space="preserve"> </w:t>
            </w:r>
            <w:proofErr w:type="spellStart"/>
            <w:r w:rsidRPr="006E0441">
              <w:rPr>
                <w:rFonts w:cs="Arial"/>
                <w:sz w:val="16"/>
                <w:szCs w:val="16"/>
              </w:rPr>
              <w:t>counteract</w:t>
            </w:r>
            <w:proofErr w:type="spellEnd"/>
            <w:r w:rsidRPr="006E0441">
              <w:rPr>
                <w:rFonts w:cs="Arial"/>
                <w:sz w:val="16"/>
                <w:szCs w:val="16"/>
              </w:rPr>
              <w:t xml:space="preserve"> </w:t>
            </w:r>
            <w:proofErr w:type="spellStart"/>
            <w:r w:rsidRPr="006E0441">
              <w:rPr>
                <w:rFonts w:cs="Arial"/>
                <w:sz w:val="16"/>
                <w:szCs w:val="16"/>
              </w:rPr>
              <w:t>the</w:t>
            </w:r>
            <w:proofErr w:type="spellEnd"/>
            <w:r w:rsidRPr="006E0441">
              <w:rPr>
                <w:rFonts w:cs="Arial"/>
                <w:sz w:val="16"/>
                <w:szCs w:val="16"/>
              </w:rPr>
              <w:t xml:space="preserve"> </w:t>
            </w:r>
            <w:proofErr w:type="spellStart"/>
            <w:r w:rsidRPr="006E0441">
              <w:rPr>
                <w:rFonts w:cs="Arial"/>
                <w:sz w:val="16"/>
                <w:szCs w:val="16"/>
              </w:rPr>
              <w:t>effects</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w:t>
            </w:r>
            <w:proofErr w:type="spellStart"/>
            <w:r w:rsidRPr="006E0441">
              <w:rPr>
                <w:rFonts w:cs="Arial"/>
                <w:sz w:val="16"/>
                <w:szCs w:val="16"/>
              </w:rPr>
              <w:t>the</w:t>
            </w:r>
            <w:proofErr w:type="spellEnd"/>
            <w:r w:rsidRPr="006E0441">
              <w:rPr>
                <w:rFonts w:cs="Arial"/>
                <w:sz w:val="16"/>
                <w:szCs w:val="16"/>
              </w:rPr>
              <w:t xml:space="preserve"> COVID-19 </w:t>
            </w:r>
            <w:proofErr w:type="spellStart"/>
            <w:r w:rsidRPr="006E0441">
              <w:rPr>
                <w:rFonts w:cs="Arial"/>
                <w:sz w:val="16"/>
                <w:szCs w:val="16"/>
              </w:rPr>
              <w:t>pandemic</w:t>
            </w:r>
            <w:proofErr w:type="spellEnd"/>
            <w:r w:rsidRPr="006E0441">
              <w:rPr>
                <w:rFonts w:cs="Arial"/>
                <w:sz w:val="16"/>
                <w:szCs w:val="16"/>
              </w:rPr>
              <w:t xml:space="preserve"> (total </w:t>
            </w:r>
            <w:proofErr w:type="spellStart"/>
            <w:r w:rsidRPr="006E0441">
              <w:rPr>
                <w:rFonts w:cs="Arial"/>
                <w:sz w:val="16"/>
                <w:szCs w:val="16"/>
              </w:rPr>
              <w:t>public</w:t>
            </w:r>
            <w:proofErr w:type="spellEnd"/>
            <w:r w:rsidRPr="006E0441">
              <w:rPr>
                <w:rFonts w:cs="Arial"/>
                <w:sz w:val="16"/>
                <w:szCs w:val="16"/>
              </w:rPr>
              <w:t xml:space="preserve"> </w:t>
            </w:r>
            <w:proofErr w:type="spellStart"/>
            <w:r w:rsidRPr="006E0441">
              <w:rPr>
                <w:rFonts w:cs="Arial"/>
                <w:sz w:val="16"/>
                <w:szCs w:val="16"/>
              </w:rPr>
              <w:t>cost</w:t>
            </w:r>
            <w:proofErr w:type="spellEnd"/>
            <w:r w:rsidRPr="006E0441">
              <w:rPr>
                <w:rFonts w:cs="Arial"/>
                <w:sz w:val="16"/>
                <w:szCs w:val="16"/>
              </w:rPr>
              <w:t xml:space="preserve">) </w:t>
            </w:r>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EUR</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ESS</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636224" w:rsidRPr="006E0441" w:rsidRDefault="00636224" w:rsidP="00636224">
            <w:pPr>
              <w:spacing w:line="240" w:lineRule="auto"/>
              <w:jc w:val="center"/>
              <w:rPr>
                <w:rFonts w:cs="Arial"/>
                <w:sz w:val="16"/>
                <w:szCs w:val="16"/>
              </w:rPr>
            </w:pPr>
            <w:r w:rsidRPr="006E0441">
              <w:rPr>
                <w:rFonts w:cs="Arial"/>
                <w:sz w:val="16"/>
                <w:szCs w:val="16"/>
              </w:rPr>
              <w:t>Celotna Slovenija</w:t>
            </w:r>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25.000.000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Letno</w:t>
            </w:r>
          </w:p>
        </w:tc>
      </w:tr>
      <w:tr w:rsidR="00636224" w:rsidRPr="006E0441" w:rsidTr="00814F56">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636224" w:rsidRPr="006E0441" w:rsidRDefault="00636224" w:rsidP="00636224">
            <w:pPr>
              <w:spacing w:line="240" w:lineRule="auto"/>
              <w:rPr>
                <w:rFonts w:cs="Arial"/>
                <w:sz w:val="16"/>
                <w:szCs w:val="16"/>
              </w:rPr>
            </w:pPr>
            <w:r w:rsidRPr="006E0441">
              <w:rPr>
                <w:rFonts w:cs="Arial"/>
                <w:sz w:val="16"/>
                <w:szCs w:val="16"/>
              </w:rPr>
              <w:t>CV33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636224" w:rsidRPr="006E0441" w:rsidRDefault="00636224" w:rsidP="00636224">
            <w:pPr>
              <w:pStyle w:val="Default"/>
              <w:rPr>
                <w:rFonts w:asciiTheme="minorHAnsi" w:hAnsiTheme="minorHAnsi" w:cs="Arial"/>
                <w:color w:val="auto"/>
                <w:sz w:val="16"/>
                <w:szCs w:val="16"/>
              </w:rPr>
            </w:pPr>
            <w:proofErr w:type="spellStart"/>
            <w:r w:rsidRPr="006E0441">
              <w:rPr>
                <w:rFonts w:asciiTheme="minorHAnsi" w:hAnsiTheme="minorHAnsi" w:cs="Arial"/>
                <w:color w:val="auto"/>
                <w:sz w:val="16"/>
                <w:szCs w:val="16"/>
              </w:rPr>
              <w:t>Number</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of</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entities</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supported</w:t>
            </w:r>
            <w:proofErr w:type="spellEnd"/>
            <w:r w:rsidRPr="006E0441">
              <w:rPr>
                <w:rFonts w:asciiTheme="minorHAnsi" w:hAnsiTheme="minorHAnsi" w:cs="Arial"/>
                <w:color w:val="auto"/>
                <w:sz w:val="16"/>
                <w:szCs w:val="16"/>
              </w:rPr>
              <w:t xml:space="preserve"> in </w:t>
            </w:r>
            <w:proofErr w:type="spellStart"/>
            <w:r w:rsidRPr="006E0441">
              <w:rPr>
                <w:rFonts w:asciiTheme="minorHAnsi" w:hAnsiTheme="minorHAnsi" w:cs="Arial"/>
                <w:color w:val="auto"/>
                <w:sz w:val="16"/>
                <w:szCs w:val="16"/>
              </w:rPr>
              <w:t>combating</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or</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counteracting</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the</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effects</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of</w:t>
            </w:r>
            <w:proofErr w:type="spellEnd"/>
            <w:r w:rsidRPr="006E0441">
              <w:rPr>
                <w:rFonts w:asciiTheme="minorHAnsi" w:hAnsiTheme="minorHAnsi" w:cs="Arial"/>
                <w:color w:val="auto"/>
                <w:sz w:val="16"/>
                <w:szCs w:val="16"/>
              </w:rPr>
              <w:t xml:space="preserve"> </w:t>
            </w:r>
            <w:proofErr w:type="spellStart"/>
            <w:r w:rsidRPr="006E0441">
              <w:rPr>
                <w:rFonts w:asciiTheme="minorHAnsi" w:hAnsiTheme="minorHAnsi" w:cs="Arial"/>
                <w:color w:val="auto"/>
                <w:sz w:val="16"/>
                <w:szCs w:val="16"/>
              </w:rPr>
              <w:t>the</w:t>
            </w:r>
            <w:proofErr w:type="spellEnd"/>
            <w:r w:rsidRPr="006E0441">
              <w:rPr>
                <w:rFonts w:asciiTheme="minorHAnsi" w:hAnsiTheme="minorHAnsi" w:cs="Arial"/>
                <w:color w:val="auto"/>
                <w:sz w:val="16"/>
                <w:szCs w:val="16"/>
              </w:rPr>
              <w:t xml:space="preserve"> COVID-19 </w:t>
            </w:r>
            <w:proofErr w:type="spellStart"/>
            <w:r w:rsidRPr="006E0441">
              <w:rPr>
                <w:rFonts w:asciiTheme="minorHAnsi" w:hAnsiTheme="minorHAnsi" w:cs="Arial"/>
                <w:color w:val="auto"/>
                <w:sz w:val="16"/>
                <w:szCs w:val="16"/>
              </w:rPr>
              <w:t>pandemic</w:t>
            </w:r>
            <w:proofErr w:type="spellEnd"/>
            <w:r w:rsidRPr="006E0441">
              <w:rPr>
                <w:rFonts w:asciiTheme="minorHAnsi" w:hAnsiTheme="minorHAnsi" w:cs="Arial"/>
                <w:color w:val="auto"/>
                <w:sz w:val="16"/>
                <w:szCs w:val="16"/>
              </w:rPr>
              <w:t xml:space="preserve"> </w:t>
            </w:r>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število</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ESRR</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636224" w:rsidRPr="006E0441" w:rsidRDefault="00636224" w:rsidP="00636224">
            <w:pPr>
              <w:spacing w:line="240" w:lineRule="auto"/>
              <w:jc w:val="center"/>
              <w:rPr>
                <w:rFonts w:cs="Arial"/>
                <w:sz w:val="16"/>
                <w:szCs w:val="16"/>
              </w:rPr>
            </w:pPr>
            <w:r w:rsidRPr="006E0441">
              <w:rPr>
                <w:rFonts w:cs="Arial"/>
                <w:sz w:val="16"/>
                <w:szCs w:val="16"/>
              </w:rPr>
              <w:t>Celotna Slovenija</w:t>
            </w:r>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40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636224" w:rsidRPr="006E0441" w:rsidRDefault="00636224" w:rsidP="00636224">
            <w:pPr>
              <w:spacing w:line="240" w:lineRule="auto"/>
              <w:jc w:val="center"/>
              <w:rPr>
                <w:rFonts w:cs="Arial"/>
                <w:sz w:val="16"/>
                <w:szCs w:val="16"/>
              </w:rPr>
            </w:pPr>
            <w:r w:rsidRPr="006E0441">
              <w:rPr>
                <w:rFonts w:cs="Arial"/>
                <w:sz w:val="16"/>
                <w:szCs w:val="16"/>
              </w:rPr>
              <w:t>Letno</w:t>
            </w:r>
          </w:p>
        </w:tc>
      </w:tr>
      <w:tr w:rsidR="00143F94" w:rsidRPr="006E0441" w:rsidTr="002C1732">
        <w:trPr>
          <w:trHeight w:val="371"/>
          <w:jc w:val="center"/>
        </w:trPr>
        <w:tc>
          <w:tcPr>
            <w:tcW w:w="8736" w:type="dxa"/>
            <w:gridSpan w:val="8"/>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ind w:right="440"/>
              <w:jc w:val="both"/>
              <w:rPr>
                <w:rFonts w:cs="Arial"/>
                <w:b/>
                <w:sz w:val="16"/>
                <w:szCs w:val="16"/>
              </w:rPr>
            </w:pPr>
            <w:r w:rsidRPr="006E0441">
              <w:rPr>
                <w:rFonts w:cs="Arial"/>
                <w:b/>
                <w:sz w:val="16"/>
                <w:szCs w:val="16"/>
              </w:rPr>
              <w:t>Prednostna os 10</w:t>
            </w:r>
          </w:p>
        </w:tc>
      </w:tr>
      <w:tr w:rsidR="00143F94" w:rsidRPr="006E0441" w:rsidTr="002C1732">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r w:rsidRPr="006E0441">
              <w:rPr>
                <w:rFonts w:cs="Arial"/>
                <w:sz w:val="16"/>
                <w:szCs w:val="16"/>
              </w:rPr>
              <w:t>CV4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proofErr w:type="spellStart"/>
            <w:r w:rsidRPr="006E0441">
              <w:rPr>
                <w:rFonts w:cs="Arial"/>
                <w:sz w:val="16"/>
                <w:szCs w:val="16"/>
              </w:rPr>
              <w:t>Value</w:t>
            </w:r>
            <w:proofErr w:type="spellEnd"/>
            <w:r w:rsidRPr="006E0441">
              <w:rPr>
                <w:rFonts w:cs="Arial"/>
                <w:sz w:val="16"/>
                <w:szCs w:val="16"/>
              </w:rPr>
              <w:t xml:space="preserve"> </w:t>
            </w:r>
            <w:proofErr w:type="spellStart"/>
            <w:r w:rsidRPr="006E0441">
              <w:rPr>
                <w:rFonts w:cs="Arial"/>
                <w:sz w:val="16"/>
                <w:szCs w:val="16"/>
              </w:rPr>
              <w:t>of</w:t>
            </w:r>
            <w:proofErr w:type="spellEnd"/>
            <w:r w:rsidRPr="006E0441">
              <w:rPr>
                <w:rFonts w:cs="Arial"/>
                <w:sz w:val="16"/>
                <w:szCs w:val="16"/>
              </w:rPr>
              <w:t xml:space="preserve"> IT </w:t>
            </w:r>
            <w:proofErr w:type="spellStart"/>
            <w:r w:rsidRPr="006E0441">
              <w:rPr>
                <w:rFonts w:cs="Arial"/>
                <w:sz w:val="16"/>
                <w:szCs w:val="16"/>
              </w:rPr>
              <w:t>equipment</w:t>
            </w:r>
            <w:proofErr w:type="spellEnd"/>
            <w:r w:rsidRPr="006E0441">
              <w:rPr>
                <w:rFonts w:cs="Arial"/>
                <w:sz w:val="16"/>
                <w:szCs w:val="16"/>
              </w:rPr>
              <w:t xml:space="preserve"> </w:t>
            </w:r>
            <w:proofErr w:type="spellStart"/>
            <w:r w:rsidRPr="006E0441">
              <w:rPr>
                <w:rFonts w:cs="Arial"/>
                <w:sz w:val="16"/>
                <w:szCs w:val="16"/>
              </w:rPr>
              <w:t>and</w:t>
            </w:r>
            <w:proofErr w:type="spellEnd"/>
            <w:r w:rsidRPr="006E0441">
              <w:rPr>
                <w:rFonts w:cs="Arial"/>
                <w:sz w:val="16"/>
                <w:szCs w:val="16"/>
              </w:rPr>
              <w:t xml:space="preserve"> software/</w:t>
            </w:r>
            <w:proofErr w:type="spellStart"/>
            <w:r w:rsidRPr="006E0441">
              <w:rPr>
                <w:rFonts w:cs="Arial"/>
                <w:sz w:val="16"/>
                <w:szCs w:val="16"/>
              </w:rPr>
              <w:t>licences</w:t>
            </w:r>
            <w:proofErr w:type="spellEnd"/>
            <w:r w:rsidRPr="006E0441">
              <w:rPr>
                <w:rFonts w:cs="Arial"/>
                <w:sz w:val="16"/>
                <w:szCs w:val="16"/>
              </w:rPr>
              <w:t xml:space="preserve"> </w:t>
            </w:r>
            <w:proofErr w:type="spellStart"/>
            <w:r w:rsidRPr="006E0441">
              <w:rPr>
                <w:rFonts w:cs="Arial"/>
                <w:sz w:val="16"/>
                <w:szCs w:val="16"/>
              </w:rPr>
              <w:t>financed</w:t>
            </w:r>
            <w:proofErr w:type="spellEnd"/>
            <w:r w:rsidRPr="006E0441">
              <w:rPr>
                <w:rFonts w:cs="Arial"/>
                <w:sz w:val="16"/>
                <w:szCs w:val="16"/>
              </w:rPr>
              <w:t xml:space="preserve"> in COVID-19 </w:t>
            </w:r>
            <w:proofErr w:type="spellStart"/>
            <w:r w:rsidRPr="006E0441">
              <w:rPr>
                <w:rFonts w:cs="Arial"/>
                <w:sz w:val="16"/>
                <w:szCs w:val="16"/>
              </w:rPr>
              <w:t>response</w:t>
            </w:r>
            <w:proofErr w:type="spellEnd"/>
            <w:r w:rsidRPr="006E0441">
              <w:rPr>
                <w:rFonts w:cs="Arial"/>
                <w:sz w:val="16"/>
                <w:szCs w:val="16"/>
              </w:rPr>
              <w:t xml:space="preserve"> (total </w:t>
            </w:r>
            <w:proofErr w:type="spellStart"/>
            <w:r w:rsidRPr="006E0441">
              <w:rPr>
                <w:rFonts w:cs="Arial"/>
                <w:sz w:val="16"/>
                <w:szCs w:val="16"/>
              </w:rPr>
              <w:t>public</w:t>
            </w:r>
            <w:proofErr w:type="spellEnd"/>
            <w:r w:rsidRPr="006E0441">
              <w:rPr>
                <w:rFonts w:cs="Arial"/>
                <w:sz w:val="16"/>
                <w:szCs w:val="16"/>
              </w:rPr>
              <w:t xml:space="preserve"> </w:t>
            </w:r>
            <w:proofErr w:type="spellStart"/>
            <w:r w:rsidRPr="006E0441">
              <w:rPr>
                <w:rFonts w:cs="Arial"/>
                <w:sz w:val="16"/>
                <w:szCs w:val="16"/>
              </w:rPr>
              <w:t>cost</w:t>
            </w:r>
            <w:proofErr w:type="spellEnd"/>
            <w:r w:rsidRPr="006E0441">
              <w:rPr>
                <w:rFonts w:cs="Arial"/>
                <w:sz w:val="16"/>
                <w:szCs w:val="16"/>
              </w:rPr>
              <w:t>)</w:t>
            </w:r>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EUR</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ESS</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 xml:space="preserve">Celotna </w:t>
            </w:r>
            <w:proofErr w:type="spellStart"/>
            <w:r w:rsidRPr="006E0441">
              <w:rPr>
                <w:rFonts w:cs="Arial"/>
                <w:sz w:val="16"/>
                <w:szCs w:val="16"/>
              </w:rPr>
              <w:t>slovenija</w:t>
            </w:r>
            <w:proofErr w:type="spellEnd"/>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4.000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Spremljanje</w:t>
            </w: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r w:rsidRPr="006E0441">
              <w:rPr>
                <w:rFonts w:cs="Arial"/>
                <w:sz w:val="16"/>
                <w:szCs w:val="16"/>
              </w:rPr>
              <w:t>Letno</w:t>
            </w:r>
          </w:p>
        </w:tc>
      </w:tr>
      <w:tr w:rsidR="00143F94" w:rsidRPr="006E0441" w:rsidTr="002C1732">
        <w:trPr>
          <w:trHeight w:val="371"/>
          <w:jc w:val="center"/>
        </w:trPr>
        <w:tc>
          <w:tcPr>
            <w:tcW w:w="8736" w:type="dxa"/>
            <w:gridSpan w:val="8"/>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ind w:right="440"/>
              <w:jc w:val="both"/>
              <w:rPr>
                <w:rFonts w:cs="Arial"/>
                <w:b/>
                <w:sz w:val="16"/>
                <w:szCs w:val="16"/>
              </w:rPr>
            </w:pPr>
            <w:r w:rsidRPr="006E0441">
              <w:rPr>
                <w:rFonts w:cs="Arial"/>
                <w:b/>
                <w:sz w:val="16"/>
                <w:szCs w:val="16"/>
              </w:rPr>
              <w:t>Prednostna os 15</w:t>
            </w:r>
          </w:p>
        </w:tc>
      </w:tr>
      <w:tr w:rsidR="00143F94" w:rsidRPr="006E0441" w:rsidTr="002C1732">
        <w:trPr>
          <w:trHeight w:val="6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143F94" w:rsidP="002C1732">
            <w:pPr>
              <w:spacing w:line="240" w:lineRule="auto"/>
              <w:rPr>
                <w:rFonts w:cs="Arial"/>
                <w:sz w:val="16"/>
                <w:szCs w:val="16"/>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43F94" w:rsidRPr="006E0441" w:rsidRDefault="00636224" w:rsidP="002C1732">
            <w:pPr>
              <w:spacing w:line="240" w:lineRule="auto"/>
              <w:rPr>
                <w:rFonts w:cs="Arial"/>
                <w:sz w:val="16"/>
                <w:szCs w:val="16"/>
              </w:rPr>
            </w:pPr>
            <w:r w:rsidRPr="006E0441">
              <w:rPr>
                <w:rFonts w:cs="Arial"/>
                <w:sz w:val="16"/>
                <w:szCs w:val="16"/>
              </w:rPr>
              <w:t xml:space="preserve">Bo dodatno dogovorjeno po dopolnjenem predlogu skladno s pripombami deležnikov. </w:t>
            </w:r>
          </w:p>
        </w:tc>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p>
        </w:tc>
        <w:tc>
          <w:tcPr>
            <w:tcW w:w="1127" w:type="dxa"/>
            <w:tcBorders>
              <w:top w:val="single" w:sz="4" w:space="0" w:color="auto"/>
              <w:left w:val="single" w:sz="4" w:space="0" w:color="auto"/>
              <w:bottom w:val="single" w:sz="4" w:space="0" w:color="auto"/>
              <w:right w:val="single" w:sz="4" w:space="0" w:color="auto"/>
            </w:tcBorders>
            <w:shd w:val="clear" w:color="auto" w:fill="FFFFFF"/>
            <w:vAlign w:val="center"/>
          </w:tcPr>
          <w:p w:rsidR="00143F94" w:rsidRPr="006E0441" w:rsidRDefault="00143F94" w:rsidP="002C1732">
            <w:pPr>
              <w:spacing w:line="240" w:lineRule="auto"/>
              <w:jc w:val="center"/>
              <w:rPr>
                <w:rFonts w:cs="Arial"/>
                <w:sz w:val="16"/>
                <w:szCs w:val="16"/>
              </w:rPr>
            </w:pPr>
          </w:p>
        </w:tc>
      </w:tr>
    </w:tbl>
    <w:p w:rsidR="00143F94" w:rsidRPr="006E0441" w:rsidRDefault="00143F94" w:rsidP="000E5BD1">
      <w:pPr>
        <w:jc w:val="both"/>
      </w:pPr>
    </w:p>
    <w:p w:rsidR="000E5BD1" w:rsidRPr="006E0441" w:rsidRDefault="000E5BD1" w:rsidP="000E5BD1">
      <w:pPr>
        <w:rPr>
          <w:i/>
          <w:color w:val="FF0000"/>
        </w:rPr>
      </w:pPr>
      <w:r w:rsidRPr="006E0441">
        <w:rPr>
          <w:i/>
          <w:color w:val="FF0000"/>
        </w:rPr>
        <w:br w:type="page"/>
      </w:r>
    </w:p>
    <w:p w:rsidR="00101D7A" w:rsidRPr="006E0441" w:rsidRDefault="00101D7A" w:rsidP="00C65266">
      <w:pPr>
        <w:pStyle w:val="Naslov1"/>
        <w:numPr>
          <w:ilvl w:val="0"/>
          <w:numId w:val="12"/>
        </w:numPr>
        <w:ind w:hanging="720"/>
        <w:rPr>
          <w:caps w:val="0"/>
        </w:rPr>
      </w:pPr>
      <w:bookmarkStart w:id="19" w:name="_Toc50273555"/>
      <w:r w:rsidRPr="006E0441">
        <w:rPr>
          <w:caps w:val="0"/>
        </w:rPr>
        <w:lastRenderedPageBreak/>
        <w:t>Z</w:t>
      </w:r>
      <w:r w:rsidR="006258A1" w:rsidRPr="006E0441">
        <w:rPr>
          <w:caps w:val="0"/>
        </w:rPr>
        <w:t>aključek</w:t>
      </w:r>
      <w:bookmarkEnd w:id="19"/>
    </w:p>
    <w:p w:rsidR="00216219" w:rsidRPr="006E0441" w:rsidRDefault="00216219" w:rsidP="00101D7A">
      <w:pPr>
        <w:pStyle w:val="Naslov1"/>
        <w:ind w:left="720"/>
        <w:rPr>
          <w:caps w:val="0"/>
        </w:rPr>
      </w:pPr>
    </w:p>
    <w:p w:rsidR="00F87473" w:rsidRPr="006E0441" w:rsidRDefault="00F87473" w:rsidP="006D6FD1">
      <w:pPr>
        <w:jc w:val="both"/>
        <w:rPr>
          <w:szCs w:val="20"/>
        </w:rPr>
      </w:pPr>
      <w:r w:rsidRPr="006E0441">
        <w:rPr>
          <w:rFonts w:cs="Arial"/>
          <w:szCs w:val="20"/>
        </w:rPr>
        <w:t>S predlogom spremembe Operativnega programa za izvajanje evropske kohezijske politike za progr</w:t>
      </w:r>
      <w:r w:rsidR="00CF7208">
        <w:rPr>
          <w:rFonts w:cs="Arial"/>
          <w:szCs w:val="20"/>
        </w:rPr>
        <w:t>amsko obdobje 2014-2020, različico</w:t>
      </w:r>
      <w:r w:rsidRPr="006E0441">
        <w:rPr>
          <w:rFonts w:cs="Arial"/>
          <w:szCs w:val="20"/>
        </w:rPr>
        <w:t xml:space="preserve"> 6.0</w:t>
      </w:r>
      <w:r w:rsidR="00CF7208">
        <w:rPr>
          <w:rFonts w:cs="Arial"/>
          <w:szCs w:val="20"/>
        </w:rPr>
        <w:t xml:space="preserve">, </w:t>
      </w:r>
      <w:r w:rsidRPr="006E0441">
        <w:rPr>
          <w:rFonts w:cs="Arial"/>
          <w:szCs w:val="20"/>
        </w:rPr>
        <w:t xml:space="preserve">želimo na organu upravljanja pravočasno in ustrezno </w:t>
      </w:r>
      <w:r w:rsidR="00350323" w:rsidRPr="006E0441">
        <w:rPr>
          <w:rFonts w:cs="Arial"/>
          <w:szCs w:val="20"/>
        </w:rPr>
        <w:t>načrtovati dodatna EU</w:t>
      </w:r>
      <w:r w:rsidRPr="006E0441">
        <w:rPr>
          <w:rFonts w:cs="Arial"/>
          <w:szCs w:val="20"/>
        </w:rPr>
        <w:t xml:space="preserve"> sredstva </w:t>
      </w:r>
      <w:proofErr w:type="spellStart"/>
      <w:r w:rsidRPr="006E0441">
        <w:rPr>
          <w:rFonts w:cs="Arial"/>
          <w:szCs w:val="20"/>
        </w:rPr>
        <w:t>React</w:t>
      </w:r>
      <w:proofErr w:type="spellEnd"/>
      <w:r w:rsidRPr="006E0441">
        <w:rPr>
          <w:rFonts w:cs="Arial"/>
          <w:szCs w:val="20"/>
        </w:rPr>
        <w:t>-EU. K</w:t>
      </w:r>
      <w:r w:rsidRPr="006E0441">
        <w:rPr>
          <w:szCs w:val="20"/>
        </w:rPr>
        <w:t>ončni datum upravičenosti izdatkov za ta sredstva je</w:t>
      </w:r>
      <w:r w:rsidR="00BA47DB" w:rsidRPr="006E0441">
        <w:rPr>
          <w:szCs w:val="20"/>
        </w:rPr>
        <w:t xml:space="preserve"> </w:t>
      </w:r>
      <w:r w:rsidRPr="006E0441">
        <w:rPr>
          <w:szCs w:val="20"/>
        </w:rPr>
        <w:t>31.12.2023 in je torej časa za izvedbo sorazmerno malo. Prav tako p</w:t>
      </w:r>
      <w:r w:rsidR="0059314C" w:rsidRPr="006E0441">
        <w:rPr>
          <w:szCs w:val="20"/>
        </w:rPr>
        <w:t>a potrebujemo hiter in ustrezen o</w:t>
      </w:r>
      <w:r w:rsidR="00004E94" w:rsidRPr="006E0441">
        <w:rPr>
          <w:szCs w:val="20"/>
        </w:rPr>
        <w:t>d</w:t>
      </w:r>
      <w:r w:rsidR="0059314C" w:rsidRPr="006E0441">
        <w:rPr>
          <w:szCs w:val="20"/>
        </w:rPr>
        <w:t xml:space="preserve">ziv za blažitev krize. </w:t>
      </w:r>
    </w:p>
    <w:p w:rsidR="0046638E" w:rsidRPr="006E0441" w:rsidRDefault="006D6FD1" w:rsidP="006D6FD1">
      <w:pPr>
        <w:jc w:val="both"/>
      </w:pPr>
      <w:r w:rsidRPr="006E0441">
        <w:t>S pripravljenim predlogom ocenjujemo, da bodo dodatna sredstva</w:t>
      </w:r>
      <w:r w:rsidR="00554F2D" w:rsidRPr="006E0441">
        <w:t xml:space="preserve"> EU</w:t>
      </w:r>
      <w:r w:rsidRPr="006E0441">
        <w:t xml:space="preserve">, zagotovljena v okviru pobude </w:t>
      </w:r>
      <w:proofErr w:type="spellStart"/>
      <w:r w:rsidRPr="006E0441">
        <w:t>R</w:t>
      </w:r>
      <w:r w:rsidR="00CF7208">
        <w:t>eact</w:t>
      </w:r>
      <w:proofErr w:type="spellEnd"/>
      <w:r w:rsidRPr="006E0441">
        <w:t>-EU imela velik pozitiven učinek in bodo uporabljena takoj in v skladu s potrebami in revizijo trenutnega programskega obdobja do leta 2023. Zato smo zagotovili hitro programiranje sredstev in ter hkrati tudi hiter prehod k izvedbi ukrepov.</w:t>
      </w:r>
    </w:p>
    <w:p w:rsidR="00495A3A" w:rsidRPr="006E0441" w:rsidRDefault="00350323" w:rsidP="00495A3A">
      <w:pPr>
        <w:spacing w:after="200" w:line="276" w:lineRule="auto"/>
        <w:jc w:val="both"/>
        <w:rPr>
          <w:szCs w:val="20"/>
        </w:rPr>
      </w:pPr>
      <w:r w:rsidRPr="006E0441">
        <w:t>V okviru spremembe</w:t>
      </w:r>
      <w:r w:rsidR="00495A3A" w:rsidRPr="006E0441">
        <w:t xml:space="preserve"> OP predlagamo </w:t>
      </w:r>
      <w:r w:rsidR="0059314C" w:rsidRPr="006E0441">
        <w:t xml:space="preserve">tudi </w:t>
      </w:r>
      <w:r w:rsidR="00495A3A" w:rsidRPr="006E0441">
        <w:t>določene prerazporeditve med prednostnimi osmi</w:t>
      </w:r>
      <w:r w:rsidR="00CF7208">
        <w:t>,</w:t>
      </w:r>
      <w:r w:rsidR="00495A3A" w:rsidRPr="006E0441">
        <w:t xml:space="preserve"> s čimer ustvarjamo tudi </w:t>
      </w:r>
      <w:r w:rsidR="00495A3A" w:rsidRPr="006E0441">
        <w:rPr>
          <w:szCs w:val="20"/>
        </w:rPr>
        <w:t>pogoje za ključna cilja na področju evropske kohezijske politike, dosego zastavljenih (razvojnih) ciljev</w:t>
      </w:r>
      <w:r w:rsidR="00BA47DB" w:rsidRPr="006E0441">
        <w:rPr>
          <w:szCs w:val="20"/>
        </w:rPr>
        <w:t>, kazalnikov</w:t>
      </w:r>
      <w:r w:rsidR="00495A3A" w:rsidRPr="006E0441">
        <w:rPr>
          <w:szCs w:val="20"/>
        </w:rPr>
        <w:t xml:space="preserve"> in 100 % koriščenje evropskih sredstev veljavnega OP.</w:t>
      </w:r>
    </w:p>
    <w:p w:rsidR="00495A3A" w:rsidRPr="006E0441" w:rsidRDefault="00495A3A" w:rsidP="00495A3A">
      <w:pPr>
        <w:spacing w:after="200" w:line="276" w:lineRule="auto"/>
        <w:jc w:val="both"/>
        <w:rPr>
          <w:szCs w:val="20"/>
        </w:rPr>
      </w:pPr>
      <w:r w:rsidRPr="006E0441">
        <w:rPr>
          <w:szCs w:val="20"/>
        </w:rPr>
        <w:t>Poleg tega smo v gradivu predstavili</w:t>
      </w:r>
      <w:r w:rsidR="00350323" w:rsidRPr="006E0441">
        <w:rPr>
          <w:szCs w:val="20"/>
        </w:rPr>
        <w:t>, na kakš</w:t>
      </w:r>
      <w:r w:rsidR="00004E94" w:rsidRPr="006E0441">
        <w:rPr>
          <w:szCs w:val="20"/>
        </w:rPr>
        <w:t>en</w:t>
      </w:r>
      <w:r w:rsidRPr="006E0441">
        <w:rPr>
          <w:szCs w:val="20"/>
        </w:rPr>
        <w:t xml:space="preserve"> način bomo uredili spremljanje kazalnikov in drugih povezanih vsebin za spremljanje odziva kohezijske politike na COVID-19 pandemijo.</w:t>
      </w:r>
    </w:p>
    <w:p w:rsidR="0059314C" w:rsidRPr="006E0441" w:rsidRDefault="0059314C" w:rsidP="00495A3A">
      <w:pPr>
        <w:spacing w:after="200" w:line="276" w:lineRule="auto"/>
        <w:jc w:val="both"/>
        <w:rPr>
          <w:szCs w:val="20"/>
        </w:rPr>
      </w:pPr>
    </w:p>
    <w:p w:rsidR="0059314C" w:rsidRPr="006E0441" w:rsidRDefault="0059314C" w:rsidP="00495A3A">
      <w:pPr>
        <w:spacing w:after="200" w:line="276" w:lineRule="auto"/>
        <w:jc w:val="both"/>
        <w:rPr>
          <w:szCs w:val="20"/>
        </w:rPr>
      </w:pPr>
    </w:p>
    <w:p w:rsidR="00495A3A" w:rsidRPr="006E0441" w:rsidRDefault="00495A3A" w:rsidP="006D6FD1">
      <w:pPr>
        <w:jc w:val="both"/>
        <w:rPr>
          <w:i/>
          <w:color w:val="FF0000"/>
        </w:rPr>
      </w:pPr>
    </w:p>
    <w:p w:rsidR="000739E4" w:rsidRPr="006E0441" w:rsidRDefault="000739E4"/>
    <w:sectPr w:rsidR="000739E4" w:rsidRPr="006E0441" w:rsidSect="00A27C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052" w:rsidRDefault="00026052" w:rsidP="00AC6716">
      <w:pPr>
        <w:spacing w:after="0" w:line="240" w:lineRule="auto"/>
      </w:pPr>
      <w:r>
        <w:separator/>
      </w:r>
    </w:p>
  </w:endnote>
  <w:endnote w:type="continuationSeparator" w:id="0">
    <w:p w:rsidR="00026052" w:rsidRDefault="00026052" w:rsidP="00AC6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epublika">
    <w:panose1 w:val="02000506040000020004"/>
    <w:charset w:val="EE"/>
    <w:family w:val="auto"/>
    <w:pitch w:val="variable"/>
    <w:sig w:usb0="A00000FF" w:usb1="4000205B"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2185273"/>
      <w:docPartObj>
        <w:docPartGallery w:val="Page Numbers (Bottom of Page)"/>
        <w:docPartUnique/>
      </w:docPartObj>
    </w:sdtPr>
    <w:sdtEndPr/>
    <w:sdtContent>
      <w:p w:rsidR="00026052" w:rsidRDefault="00026052">
        <w:pPr>
          <w:pStyle w:val="Noga"/>
          <w:jc w:val="right"/>
        </w:pPr>
        <w:r>
          <w:fldChar w:fldCharType="begin"/>
        </w:r>
        <w:r>
          <w:instrText>PAGE   \* MERGEFORMAT</w:instrText>
        </w:r>
        <w:r>
          <w:fldChar w:fldCharType="separate"/>
        </w:r>
        <w:r w:rsidR="00935504">
          <w:rPr>
            <w:noProof/>
          </w:rPr>
          <w:t>21</w:t>
        </w:r>
        <w:r>
          <w:fldChar w:fldCharType="end"/>
        </w:r>
      </w:p>
    </w:sdtContent>
  </w:sdt>
  <w:p w:rsidR="00026052" w:rsidRDefault="00026052">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052" w:rsidRDefault="00026052" w:rsidP="00AC6716">
      <w:pPr>
        <w:spacing w:after="0" w:line="240" w:lineRule="auto"/>
      </w:pPr>
      <w:r>
        <w:separator/>
      </w:r>
    </w:p>
  </w:footnote>
  <w:footnote w:type="continuationSeparator" w:id="0">
    <w:p w:rsidR="00026052" w:rsidRDefault="00026052" w:rsidP="00AC6716">
      <w:pPr>
        <w:spacing w:after="0" w:line="240" w:lineRule="auto"/>
      </w:pPr>
      <w:r>
        <w:continuationSeparator/>
      </w:r>
    </w:p>
  </w:footnote>
  <w:footnote w:id="1">
    <w:p w:rsidR="00026052" w:rsidRDefault="00026052">
      <w:pPr>
        <w:pStyle w:val="Sprotnaopomba-besedilo"/>
      </w:pPr>
      <w:r>
        <w:rPr>
          <w:rStyle w:val="Sprotnaopomba-sklic"/>
        </w:rPr>
        <w:footnoteRef/>
      </w:r>
      <w:r>
        <w:t xml:space="preserve"> VIR: Urad za makroekonomske analize in razvoj, </w:t>
      </w:r>
      <w:hyperlink r:id="rId1" w:tgtFrame="_blank" w:history="1">
        <w:r w:rsidRPr="005C5EAC">
          <w:t>Ekonomsko ogledalo št. 5/2020</w:t>
        </w:r>
      </w:hyperlink>
      <w:r>
        <w:t>.</w:t>
      </w:r>
    </w:p>
  </w:footnote>
  <w:footnote w:id="2">
    <w:p w:rsidR="00026052" w:rsidRDefault="00026052" w:rsidP="009D5900">
      <w:pPr>
        <w:pStyle w:val="Sprotnaopomba-besedilo"/>
      </w:pPr>
      <w:r>
        <w:rPr>
          <w:rStyle w:val="Sprotnaopomba-sklic"/>
        </w:rPr>
        <w:footnoteRef/>
      </w:r>
      <w:r>
        <w:t xml:space="preserve"> </w:t>
      </w:r>
      <w:r w:rsidRPr="009D5900">
        <w:t>Vplivi Covid-19 na nekatere vidike kakovosti življenja in družbene blaginje</w:t>
      </w:r>
    </w:p>
  </w:footnote>
  <w:footnote w:id="3">
    <w:p w:rsidR="00026052" w:rsidRPr="0087309D" w:rsidRDefault="00026052" w:rsidP="00DF4770">
      <w:pPr>
        <w:spacing w:before="240" w:after="0"/>
        <w:jc w:val="both"/>
        <w:rPr>
          <w:rFonts w:eastAsia="Calibri" w:cs="Arial"/>
          <w:sz w:val="18"/>
          <w:szCs w:val="18"/>
        </w:rPr>
      </w:pPr>
      <w:r w:rsidRPr="00007E34">
        <w:rPr>
          <w:rStyle w:val="Sprotnaopomba-sklic"/>
          <w:sz w:val="16"/>
          <w:szCs w:val="16"/>
        </w:rPr>
        <w:footnoteRef/>
      </w:r>
      <w:r w:rsidRPr="00007E34">
        <w:rPr>
          <w:sz w:val="16"/>
          <w:szCs w:val="16"/>
        </w:rPr>
        <w:t xml:space="preserve"> </w:t>
      </w:r>
      <w:r w:rsidRPr="0087309D">
        <w:rPr>
          <w:rFonts w:eastAsia="Calibri" w:cs="Arial"/>
          <w:sz w:val="18"/>
          <w:szCs w:val="18"/>
        </w:rPr>
        <w:t>Znesek upošteva t. i. tehnične prilagoditve v skladu s 7. členom Uredbe EU št. 1311/2013, na podlagi katere je skupna kohezijska ovojnica za Slovenijo v obdobju 2017–2020 višja za 56.025.157 EUR (tekoče cene), kar vključuje ESRR, ESS in KS. Znesek je bil vključen po spremembi OP EKP-ja.</w:t>
      </w:r>
    </w:p>
    <w:p w:rsidR="00026052" w:rsidRDefault="00026052" w:rsidP="00DF4770">
      <w:pPr>
        <w:pStyle w:val="Sprotnaopomba-besedilo"/>
      </w:pPr>
    </w:p>
  </w:footnote>
  <w:footnote w:id="4">
    <w:p w:rsidR="00026052" w:rsidRDefault="00026052" w:rsidP="00E22539">
      <w:pPr>
        <w:pStyle w:val="Sprotnaopomba-besedilo"/>
      </w:pPr>
      <w:r>
        <w:rPr>
          <w:rStyle w:val="Sprotnaopomba-sklic"/>
        </w:rPr>
        <w:footnoteRef/>
      </w:r>
      <w:r>
        <w:t xml:space="preserve"> V skladu z dogovorom, sprejetim na izrednem zasedanju Evropskega sveta med 17. in 21. julijem 2020.</w:t>
      </w:r>
    </w:p>
  </w:footnote>
  <w:footnote w:id="5">
    <w:p w:rsidR="00026052" w:rsidRDefault="00026052" w:rsidP="00865EA6">
      <w:pPr>
        <w:pStyle w:val="Sprotnaopomba-besedilo"/>
      </w:pPr>
      <w:r>
        <w:rPr>
          <w:rStyle w:val="Sprotnaopomba-sklic"/>
        </w:rPr>
        <w:footnoteRef/>
      </w:r>
      <w:r>
        <w:t xml:space="preserve"> dopis komisarke Elisa </w:t>
      </w:r>
      <w:proofErr w:type="spellStart"/>
      <w:r>
        <w:t>Ferreira</w:t>
      </w:r>
      <w:proofErr w:type="spellEnd"/>
      <w:r>
        <w:t xml:space="preserve"> in komisarja Nicolas Schmita z dne 29.7.2020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674A5"/>
    <w:multiLevelType w:val="hybridMultilevel"/>
    <w:tmpl w:val="799CDE9A"/>
    <w:lvl w:ilvl="0" w:tplc="8036F728">
      <w:numFmt w:val="bullet"/>
      <w:lvlText w:val="-"/>
      <w:lvlJc w:val="left"/>
      <w:pPr>
        <w:ind w:left="72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79E422B"/>
    <w:multiLevelType w:val="hybridMultilevel"/>
    <w:tmpl w:val="E74E5696"/>
    <w:lvl w:ilvl="0" w:tplc="0424000F">
      <w:start w:val="1"/>
      <w:numFmt w:val="decimal"/>
      <w:lvlText w:val="%1."/>
      <w:lvlJc w:val="left"/>
      <w:pPr>
        <w:ind w:left="1520" w:hanging="360"/>
      </w:pPr>
    </w:lvl>
    <w:lvl w:ilvl="1" w:tplc="04240019" w:tentative="1">
      <w:start w:val="1"/>
      <w:numFmt w:val="lowerLetter"/>
      <w:lvlText w:val="%2."/>
      <w:lvlJc w:val="left"/>
      <w:pPr>
        <w:ind w:left="2240" w:hanging="360"/>
      </w:pPr>
    </w:lvl>
    <w:lvl w:ilvl="2" w:tplc="0424001B" w:tentative="1">
      <w:start w:val="1"/>
      <w:numFmt w:val="lowerRoman"/>
      <w:lvlText w:val="%3."/>
      <w:lvlJc w:val="right"/>
      <w:pPr>
        <w:ind w:left="2960" w:hanging="180"/>
      </w:pPr>
    </w:lvl>
    <w:lvl w:ilvl="3" w:tplc="0424000F" w:tentative="1">
      <w:start w:val="1"/>
      <w:numFmt w:val="decimal"/>
      <w:lvlText w:val="%4."/>
      <w:lvlJc w:val="left"/>
      <w:pPr>
        <w:ind w:left="3680" w:hanging="360"/>
      </w:pPr>
    </w:lvl>
    <w:lvl w:ilvl="4" w:tplc="04240019" w:tentative="1">
      <w:start w:val="1"/>
      <w:numFmt w:val="lowerLetter"/>
      <w:lvlText w:val="%5."/>
      <w:lvlJc w:val="left"/>
      <w:pPr>
        <w:ind w:left="4400" w:hanging="360"/>
      </w:pPr>
    </w:lvl>
    <w:lvl w:ilvl="5" w:tplc="0424001B" w:tentative="1">
      <w:start w:val="1"/>
      <w:numFmt w:val="lowerRoman"/>
      <w:lvlText w:val="%6."/>
      <w:lvlJc w:val="right"/>
      <w:pPr>
        <w:ind w:left="5120" w:hanging="180"/>
      </w:pPr>
    </w:lvl>
    <w:lvl w:ilvl="6" w:tplc="0424000F" w:tentative="1">
      <w:start w:val="1"/>
      <w:numFmt w:val="decimal"/>
      <w:lvlText w:val="%7."/>
      <w:lvlJc w:val="left"/>
      <w:pPr>
        <w:ind w:left="5840" w:hanging="360"/>
      </w:pPr>
    </w:lvl>
    <w:lvl w:ilvl="7" w:tplc="04240019" w:tentative="1">
      <w:start w:val="1"/>
      <w:numFmt w:val="lowerLetter"/>
      <w:lvlText w:val="%8."/>
      <w:lvlJc w:val="left"/>
      <w:pPr>
        <w:ind w:left="6560" w:hanging="360"/>
      </w:pPr>
    </w:lvl>
    <w:lvl w:ilvl="8" w:tplc="0424001B" w:tentative="1">
      <w:start w:val="1"/>
      <w:numFmt w:val="lowerRoman"/>
      <w:lvlText w:val="%9."/>
      <w:lvlJc w:val="right"/>
      <w:pPr>
        <w:ind w:left="7280" w:hanging="180"/>
      </w:pPr>
    </w:lvl>
  </w:abstractNum>
  <w:abstractNum w:abstractNumId="2" w15:restartNumberingAfterBreak="0">
    <w:nsid w:val="1B194A6A"/>
    <w:multiLevelType w:val="hybridMultilevel"/>
    <w:tmpl w:val="69AE9D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B7919F9"/>
    <w:multiLevelType w:val="hybridMultilevel"/>
    <w:tmpl w:val="3F285D3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4697739"/>
    <w:multiLevelType w:val="hybridMultilevel"/>
    <w:tmpl w:val="4FDE7652"/>
    <w:lvl w:ilvl="0" w:tplc="0424000F">
      <w:start w:val="1"/>
      <w:numFmt w:val="decimal"/>
      <w:lvlText w:val="%1."/>
      <w:lvlJc w:val="left"/>
      <w:pPr>
        <w:ind w:left="1520" w:hanging="360"/>
      </w:pPr>
    </w:lvl>
    <w:lvl w:ilvl="1" w:tplc="04240019" w:tentative="1">
      <w:start w:val="1"/>
      <w:numFmt w:val="lowerLetter"/>
      <w:lvlText w:val="%2."/>
      <w:lvlJc w:val="left"/>
      <w:pPr>
        <w:ind w:left="2240" w:hanging="360"/>
      </w:pPr>
    </w:lvl>
    <w:lvl w:ilvl="2" w:tplc="0424001B" w:tentative="1">
      <w:start w:val="1"/>
      <w:numFmt w:val="lowerRoman"/>
      <w:lvlText w:val="%3."/>
      <w:lvlJc w:val="right"/>
      <w:pPr>
        <w:ind w:left="2960" w:hanging="180"/>
      </w:pPr>
    </w:lvl>
    <w:lvl w:ilvl="3" w:tplc="0424000F" w:tentative="1">
      <w:start w:val="1"/>
      <w:numFmt w:val="decimal"/>
      <w:lvlText w:val="%4."/>
      <w:lvlJc w:val="left"/>
      <w:pPr>
        <w:ind w:left="3680" w:hanging="360"/>
      </w:pPr>
    </w:lvl>
    <w:lvl w:ilvl="4" w:tplc="04240019" w:tentative="1">
      <w:start w:val="1"/>
      <w:numFmt w:val="lowerLetter"/>
      <w:lvlText w:val="%5."/>
      <w:lvlJc w:val="left"/>
      <w:pPr>
        <w:ind w:left="4400" w:hanging="360"/>
      </w:pPr>
    </w:lvl>
    <w:lvl w:ilvl="5" w:tplc="0424001B" w:tentative="1">
      <w:start w:val="1"/>
      <w:numFmt w:val="lowerRoman"/>
      <w:lvlText w:val="%6."/>
      <w:lvlJc w:val="right"/>
      <w:pPr>
        <w:ind w:left="5120" w:hanging="180"/>
      </w:pPr>
    </w:lvl>
    <w:lvl w:ilvl="6" w:tplc="0424000F" w:tentative="1">
      <w:start w:val="1"/>
      <w:numFmt w:val="decimal"/>
      <w:lvlText w:val="%7."/>
      <w:lvlJc w:val="left"/>
      <w:pPr>
        <w:ind w:left="5840" w:hanging="360"/>
      </w:pPr>
    </w:lvl>
    <w:lvl w:ilvl="7" w:tplc="04240019" w:tentative="1">
      <w:start w:val="1"/>
      <w:numFmt w:val="lowerLetter"/>
      <w:lvlText w:val="%8."/>
      <w:lvlJc w:val="left"/>
      <w:pPr>
        <w:ind w:left="6560" w:hanging="360"/>
      </w:pPr>
    </w:lvl>
    <w:lvl w:ilvl="8" w:tplc="0424001B" w:tentative="1">
      <w:start w:val="1"/>
      <w:numFmt w:val="lowerRoman"/>
      <w:lvlText w:val="%9."/>
      <w:lvlJc w:val="right"/>
      <w:pPr>
        <w:ind w:left="7280" w:hanging="180"/>
      </w:pPr>
    </w:lvl>
  </w:abstractNum>
  <w:abstractNum w:abstractNumId="5" w15:restartNumberingAfterBreak="0">
    <w:nsid w:val="2B9B0A78"/>
    <w:multiLevelType w:val="hybridMultilevel"/>
    <w:tmpl w:val="66FC57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CC6719C"/>
    <w:multiLevelType w:val="hybridMultilevel"/>
    <w:tmpl w:val="AB740810"/>
    <w:lvl w:ilvl="0" w:tplc="B064A170">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32CA2034"/>
    <w:multiLevelType w:val="hybridMultilevel"/>
    <w:tmpl w:val="85242B58"/>
    <w:lvl w:ilvl="0" w:tplc="0424000F">
      <w:start w:val="1"/>
      <w:numFmt w:val="decimal"/>
      <w:lvlText w:val="%1."/>
      <w:lvlJc w:val="left"/>
      <w:pPr>
        <w:ind w:left="502" w:hanging="360"/>
      </w:pPr>
    </w:lvl>
    <w:lvl w:ilvl="1" w:tplc="04240019" w:tentative="1">
      <w:start w:val="1"/>
      <w:numFmt w:val="lowerLetter"/>
      <w:lvlText w:val="%2."/>
      <w:lvlJc w:val="left"/>
      <w:pPr>
        <w:ind w:left="1247" w:hanging="360"/>
      </w:pPr>
    </w:lvl>
    <w:lvl w:ilvl="2" w:tplc="0424001B" w:tentative="1">
      <w:start w:val="1"/>
      <w:numFmt w:val="lowerRoman"/>
      <w:lvlText w:val="%3."/>
      <w:lvlJc w:val="right"/>
      <w:pPr>
        <w:ind w:left="1967" w:hanging="180"/>
      </w:pPr>
    </w:lvl>
    <w:lvl w:ilvl="3" w:tplc="0424000F" w:tentative="1">
      <w:start w:val="1"/>
      <w:numFmt w:val="decimal"/>
      <w:lvlText w:val="%4."/>
      <w:lvlJc w:val="left"/>
      <w:pPr>
        <w:ind w:left="2687" w:hanging="360"/>
      </w:pPr>
    </w:lvl>
    <w:lvl w:ilvl="4" w:tplc="04240019" w:tentative="1">
      <w:start w:val="1"/>
      <w:numFmt w:val="lowerLetter"/>
      <w:lvlText w:val="%5."/>
      <w:lvlJc w:val="left"/>
      <w:pPr>
        <w:ind w:left="3407" w:hanging="360"/>
      </w:pPr>
    </w:lvl>
    <w:lvl w:ilvl="5" w:tplc="0424001B" w:tentative="1">
      <w:start w:val="1"/>
      <w:numFmt w:val="lowerRoman"/>
      <w:lvlText w:val="%6."/>
      <w:lvlJc w:val="right"/>
      <w:pPr>
        <w:ind w:left="4127" w:hanging="180"/>
      </w:pPr>
    </w:lvl>
    <w:lvl w:ilvl="6" w:tplc="0424000F" w:tentative="1">
      <w:start w:val="1"/>
      <w:numFmt w:val="decimal"/>
      <w:lvlText w:val="%7."/>
      <w:lvlJc w:val="left"/>
      <w:pPr>
        <w:ind w:left="4847" w:hanging="360"/>
      </w:pPr>
    </w:lvl>
    <w:lvl w:ilvl="7" w:tplc="04240019" w:tentative="1">
      <w:start w:val="1"/>
      <w:numFmt w:val="lowerLetter"/>
      <w:lvlText w:val="%8."/>
      <w:lvlJc w:val="left"/>
      <w:pPr>
        <w:ind w:left="5567" w:hanging="360"/>
      </w:pPr>
    </w:lvl>
    <w:lvl w:ilvl="8" w:tplc="0424001B" w:tentative="1">
      <w:start w:val="1"/>
      <w:numFmt w:val="lowerRoman"/>
      <w:lvlText w:val="%9."/>
      <w:lvlJc w:val="right"/>
      <w:pPr>
        <w:ind w:left="6287" w:hanging="180"/>
      </w:pPr>
    </w:lvl>
  </w:abstractNum>
  <w:abstractNum w:abstractNumId="8" w15:restartNumberingAfterBreak="0">
    <w:nsid w:val="39400C13"/>
    <w:multiLevelType w:val="hybridMultilevel"/>
    <w:tmpl w:val="85C0A4BE"/>
    <w:lvl w:ilvl="0" w:tplc="0424000F">
      <w:start w:val="1"/>
      <w:numFmt w:val="decimal"/>
      <w:lvlText w:val="%1."/>
      <w:lvlJc w:val="left"/>
      <w:pPr>
        <w:ind w:left="644" w:hanging="360"/>
      </w:pPr>
    </w:lvl>
    <w:lvl w:ilvl="1" w:tplc="04240019" w:tentative="1">
      <w:start w:val="1"/>
      <w:numFmt w:val="lowerLetter"/>
      <w:lvlText w:val="%2."/>
      <w:lvlJc w:val="left"/>
      <w:pPr>
        <w:ind w:left="2240" w:hanging="360"/>
      </w:pPr>
    </w:lvl>
    <w:lvl w:ilvl="2" w:tplc="0424001B" w:tentative="1">
      <w:start w:val="1"/>
      <w:numFmt w:val="lowerRoman"/>
      <w:lvlText w:val="%3."/>
      <w:lvlJc w:val="right"/>
      <w:pPr>
        <w:ind w:left="2960" w:hanging="180"/>
      </w:pPr>
    </w:lvl>
    <w:lvl w:ilvl="3" w:tplc="0424000F" w:tentative="1">
      <w:start w:val="1"/>
      <w:numFmt w:val="decimal"/>
      <w:lvlText w:val="%4."/>
      <w:lvlJc w:val="left"/>
      <w:pPr>
        <w:ind w:left="3680" w:hanging="360"/>
      </w:pPr>
    </w:lvl>
    <w:lvl w:ilvl="4" w:tplc="04240019" w:tentative="1">
      <w:start w:val="1"/>
      <w:numFmt w:val="lowerLetter"/>
      <w:lvlText w:val="%5."/>
      <w:lvlJc w:val="left"/>
      <w:pPr>
        <w:ind w:left="4400" w:hanging="360"/>
      </w:pPr>
    </w:lvl>
    <w:lvl w:ilvl="5" w:tplc="0424001B" w:tentative="1">
      <w:start w:val="1"/>
      <w:numFmt w:val="lowerRoman"/>
      <w:lvlText w:val="%6."/>
      <w:lvlJc w:val="right"/>
      <w:pPr>
        <w:ind w:left="5120" w:hanging="180"/>
      </w:pPr>
    </w:lvl>
    <w:lvl w:ilvl="6" w:tplc="0424000F" w:tentative="1">
      <w:start w:val="1"/>
      <w:numFmt w:val="decimal"/>
      <w:lvlText w:val="%7."/>
      <w:lvlJc w:val="left"/>
      <w:pPr>
        <w:ind w:left="5840" w:hanging="360"/>
      </w:pPr>
    </w:lvl>
    <w:lvl w:ilvl="7" w:tplc="04240019" w:tentative="1">
      <w:start w:val="1"/>
      <w:numFmt w:val="lowerLetter"/>
      <w:lvlText w:val="%8."/>
      <w:lvlJc w:val="left"/>
      <w:pPr>
        <w:ind w:left="6560" w:hanging="360"/>
      </w:pPr>
    </w:lvl>
    <w:lvl w:ilvl="8" w:tplc="0424001B" w:tentative="1">
      <w:start w:val="1"/>
      <w:numFmt w:val="lowerRoman"/>
      <w:lvlText w:val="%9."/>
      <w:lvlJc w:val="right"/>
      <w:pPr>
        <w:ind w:left="7280" w:hanging="180"/>
      </w:pPr>
    </w:lvl>
  </w:abstractNum>
  <w:abstractNum w:abstractNumId="9" w15:restartNumberingAfterBreak="0">
    <w:nsid w:val="3C95598C"/>
    <w:multiLevelType w:val="hybridMultilevel"/>
    <w:tmpl w:val="E5FECF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07E58D4"/>
    <w:multiLevelType w:val="hybridMultilevel"/>
    <w:tmpl w:val="F2BA52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8EF3B3B"/>
    <w:multiLevelType w:val="hybridMultilevel"/>
    <w:tmpl w:val="1FCC5A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0922628"/>
    <w:multiLevelType w:val="hybridMultilevel"/>
    <w:tmpl w:val="E74E5696"/>
    <w:lvl w:ilvl="0" w:tplc="0424000F">
      <w:start w:val="1"/>
      <w:numFmt w:val="decimal"/>
      <w:lvlText w:val="%1."/>
      <w:lvlJc w:val="left"/>
      <w:pPr>
        <w:ind w:left="1520" w:hanging="360"/>
      </w:pPr>
    </w:lvl>
    <w:lvl w:ilvl="1" w:tplc="04240019" w:tentative="1">
      <w:start w:val="1"/>
      <w:numFmt w:val="lowerLetter"/>
      <w:lvlText w:val="%2."/>
      <w:lvlJc w:val="left"/>
      <w:pPr>
        <w:ind w:left="2240" w:hanging="360"/>
      </w:pPr>
    </w:lvl>
    <w:lvl w:ilvl="2" w:tplc="0424001B" w:tentative="1">
      <w:start w:val="1"/>
      <w:numFmt w:val="lowerRoman"/>
      <w:lvlText w:val="%3."/>
      <w:lvlJc w:val="right"/>
      <w:pPr>
        <w:ind w:left="2960" w:hanging="180"/>
      </w:pPr>
    </w:lvl>
    <w:lvl w:ilvl="3" w:tplc="0424000F" w:tentative="1">
      <w:start w:val="1"/>
      <w:numFmt w:val="decimal"/>
      <w:lvlText w:val="%4."/>
      <w:lvlJc w:val="left"/>
      <w:pPr>
        <w:ind w:left="3680" w:hanging="360"/>
      </w:pPr>
    </w:lvl>
    <w:lvl w:ilvl="4" w:tplc="04240019" w:tentative="1">
      <w:start w:val="1"/>
      <w:numFmt w:val="lowerLetter"/>
      <w:lvlText w:val="%5."/>
      <w:lvlJc w:val="left"/>
      <w:pPr>
        <w:ind w:left="4400" w:hanging="360"/>
      </w:pPr>
    </w:lvl>
    <w:lvl w:ilvl="5" w:tplc="0424001B" w:tentative="1">
      <w:start w:val="1"/>
      <w:numFmt w:val="lowerRoman"/>
      <w:lvlText w:val="%6."/>
      <w:lvlJc w:val="right"/>
      <w:pPr>
        <w:ind w:left="5120" w:hanging="180"/>
      </w:pPr>
    </w:lvl>
    <w:lvl w:ilvl="6" w:tplc="0424000F" w:tentative="1">
      <w:start w:val="1"/>
      <w:numFmt w:val="decimal"/>
      <w:lvlText w:val="%7."/>
      <w:lvlJc w:val="left"/>
      <w:pPr>
        <w:ind w:left="5840" w:hanging="360"/>
      </w:pPr>
    </w:lvl>
    <w:lvl w:ilvl="7" w:tplc="04240019" w:tentative="1">
      <w:start w:val="1"/>
      <w:numFmt w:val="lowerLetter"/>
      <w:lvlText w:val="%8."/>
      <w:lvlJc w:val="left"/>
      <w:pPr>
        <w:ind w:left="6560" w:hanging="360"/>
      </w:pPr>
    </w:lvl>
    <w:lvl w:ilvl="8" w:tplc="0424001B" w:tentative="1">
      <w:start w:val="1"/>
      <w:numFmt w:val="lowerRoman"/>
      <w:lvlText w:val="%9."/>
      <w:lvlJc w:val="right"/>
      <w:pPr>
        <w:ind w:left="7280" w:hanging="180"/>
      </w:pPr>
    </w:lvl>
  </w:abstractNum>
  <w:abstractNum w:abstractNumId="13" w15:restartNumberingAfterBreak="0">
    <w:nsid w:val="53B80587"/>
    <w:multiLevelType w:val="multilevel"/>
    <w:tmpl w:val="0E227672"/>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6DB4CC6"/>
    <w:multiLevelType w:val="hybridMultilevel"/>
    <w:tmpl w:val="36887A96"/>
    <w:lvl w:ilvl="0" w:tplc="04240001">
      <w:start w:val="1"/>
      <w:numFmt w:val="bullet"/>
      <w:lvlText w:val=""/>
      <w:lvlJc w:val="left"/>
      <w:pPr>
        <w:ind w:left="916" w:hanging="360"/>
      </w:pPr>
      <w:rPr>
        <w:rFonts w:ascii="Symbol" w:hAnsi="Symbol" w:hint="default"/>
      </w:rPr>
    </w:lvl>
    <w:lvl w:ilvl="1" w:tplc="04240003" w:tentative="1">
      <w:start w:val="1"/>
      <w:numFmt w:val="bullet"/>
      <w:lvlText w:val="o"/>
      <w:lvlJc w:val="left"/>
      <w:pPr>
        <w:ind w:left="1636" w:hanging="360"/>
      </w:pPr>
      <w:rPr>
        <w:rFonts w:ascii="Courier New" w:hAnsi="Courier New" w:cs="Courier New" w:hint="default"/>
      </w:rPr>
    </w:lvl>
    <w:lvl w:ilvl="2" w:tplc="04240005" w:tentative="1">
      <w:start w:val="1"/>
      <w:numFmt w:val="bullet"/>
      <w:lvlText w:val=""/>
      <w:lvlJc w:val="left"/>
      <w:pPr>
        <w:ind w:left="2356" w:hanging="360"/>
      </w:pPr>
      <w:rPr>
        <w:rFonts w:ascii="Wingdings" w:hAnsi="Wingdings" w:hint="default"/>
      </w:rPr>
    </w:lvl>
    <w:lvl w:ilvl="3" w:tplc="04240001" w:tentative="1">
      <w:start w:val="1"/>
      <w:numFmt w:val="bullet"/>
      <w:lvlText w:val=""/>
      <w:lvlJc w:val="left"/>
      <w:pPr>
        <w:ind w:left="3076" w:hanging="360"/>
      </w:pPr>
      <w:rPr>
        <w:rFonts w:ascii="Symbol" w:hAnsi="Symbol" w:hint="default"/>
      </w:rPr>
    </w:lvl>
    <w:lvl w:ilvl="4" w:tplc="04240003" w:tentative="1">
      <w:start w:val="1"/>
      <w:numFmt w:val="bullet"/>
      <w:lvlText w:val="o"/>
      <w:lvlJc w:val="left"/>
      <w:pPr>
        <w:ind w:left="3796" w:hanging="360"/>
      </w:pPr>
      <w:rPr>
        <w:rFonts w:ascii="Courier New" w:hAnsi="Courier New" w:cs="Courier New" w:hint="default"/>
      </w:rPr>
    </w:lvl>
    <w:lvl w:ilvl="5" w:tplc="04240005" w:tentative="1">
      <w:start w:val="1"/>
      <w:numFmt w:val="bullet"/>
      <w:lvlText w:val=""/>
      <w:lvlJc w:val="left"/>
      <w:pPr>
        <w:ind w:left="4516" w:hanging="360"/>
      </w:pPr>
      <w:rPr>
        <w:rFonts w:ascii="Wingdings" w:hAnsi="Wingdings" w:hint="default"/>
      </w:rPr>
    </w:lvl>
    <w:lvl w:ilvl="6" w:tplc="04240001" w:tentative="1">
      <w:start w:val="1"/>
      <w:numFmt w:val="bullet"/>
      <w:lvlText w:val=""/>
      <w:lvlJc w:val="left"/>
      <w:pPr>
        <w:ind w:left="5236" w:hanging="360"/>
      </w:pPr>
      <w:rPr>
        <w:rFonts w:ascii="Symbol" w:hAnsi="Symbol" w:hint="default"/>
      </w:rPr>
    </w:lvl>
    <w:lvl w:ilvl="7" w:tplc="04240003" w:tentative="1">
      <w:start w:val="1"/>
      <w:numFmt w:val="bullet"/>
      <w:lvlText w:val="o"/>
      <w:lvlJc w:val="left"/>
      <w:pPr>
        <w:ind w:left="5956" w:hanging="360"/>
      </w:pPr>
      <w:rPr>
        <w:rFonts w:ascii="Courier New" w:hAnsi="Courier New" w:cs="Courier New" w:hint="default"/>
      </w:rPr>
    </w:lvl>
    <w:lvl w:ilvl="8" w:tplc="04240005" w:tentative="1">
      <w:start w:val="1"/>
      <w:numFmt w:val="bullet"/>
      <w:lvlText w:val=""/>
      <w:lvlJc w:val="left"/>
      <w:pPr>
        <w:ind w:left="6676" w:hanging="360"/>
      </w:pPr>
      <w:rPr>
        <w:rFonts w:ascii="Wingdings" w:hAnsi="Wingdings" w:hint="default"/>
      </w:rPr>
    </w:lvl>
  </w:abstractNum>
  <w:abstractNum w:abstractNumId="15" w15:restartNumberingAfterBreak="0">
    <w:nsid w:val="5A0D6EC2"/>
    <w:multiLevelType w:val="hybridMultilevel"/>
    <w:tmpl w:val="4570529C"/>
    <w:lvl w:ilvl="0" w:tplc="0424000F">
      <w:start w:val="1"/>
      <w:numFmt w:val="decimal"/>
      <w:lvlText w:val="%1."/>
      <w:lvlJc w:val="left"/>
      <w:pPr>
        <w:ind w:left="1495" w:hanging="360"/>
      </w:pPr>
    </w:lvl>
    <w:lvl w:ilvl="1" w:tplc="04240019" w:tentative="1">
      <w:start w:val="1"/>
      <w:numFmt w:val="lowerLetter"/>
      <w:lvlText w:val="%2."/>
      <w:lvlJc w:val="left"/>
      <w:pPr>
        <w:ind w:left="2240" w:hanging="360"/>
      </w:pPr>
    </w:lvl>
    <w:lvl w:ilvl="2" w:tplc="0424001B" w:tentative="1">
      <w:start w:val="1"/>
      <w:numFmt w:val="lowerRoman"/>
      <w:lvlText w:val="%3."/>
      <w:lvlJc w:val="right"/>
      <w:pPr>
        <w:ind w:left="2960" w:hanging="180"/>
      </w:pPr>
    </w:lvl>
    <w:lvl w:ilvl="3" w:tplc="0424000F" w:tentative="1">
      <w:start w:val="1"/>
      <w:numFmt w:val="decimal"/>
      <w:lvlText w:val="%4."/>
      <w:lvlJc w:val="left"/>
      <w:pPr>
        <w:ind w:left="3680" w:hanging="360"/>
      </w:pPr>
    </w:lvl>
    <w:lvl w:ilvl="4" w:tplc="04240019" w:tentative="1">
      <w:start w:val="1"/>
      <w:numFmt w:val="lowerLetter"/>
      <w:lvlText w:val="%5."/>
      <w:lvlJc w:val="left"/>
      <w:pPr>
        <w:ind w:left="4400" w:hanging="360"/>
      </w:pPr>
    </w:lvl>
    <w:lvl w:ilvl="5" w:tplc="0424001B" w:tentative="1">
      <w:start w:val="1"/>
      <w:numFmt w:val="lowerRoman"/>
      <w:lvlText w:val="%6."/>
      <w:lvlJc w:val="right"/>
      <w:pPr>
        <w:ind w:left="5120" w:hanging="180"/>
      </w:pPr>
    </w:lvl>
    <w:lvl w:ilvl="6" w:tplc="0424000F" w:tentative="1">
      <w:start w:val="1"/>
      <w:numFmt w:val="decimal"/>
      <w:lvlText w:val="%7."/>
      <w:lvlJc w:val="left"/>
      <w:pPr>
        <w:ind w:left="5840" w:hanging="360"/>
      </w:pPr>
    </w:lvl>
    <w:lvl w:ilvl="7" w:tplc="04240019" w:tentative="1">
      <w:start w:val="1"/>
      <w:numFmt w:val="lowerLetter"/>
      <w:lvlText w:val="%8."/>
      <w:lvlJc w:val="left"/>
      <w:pPr>
        <w:ind w:left="6560" w:hanging="360"/>
      </w:pPr>
    </w:lvl>
    <w:lvl w:ilvl="8" w:tplc="0424001B" w:tentative="1">
      <w:start w:val="1"/>
      <w:numFmt w:val="lowerRoman"/>
      <w:lvlText w:val="%9."/>
      <w:lvlJc w:val="right"/>
      <w:pPr>
        <w:ind w:left="7280" w:hanging="180"/>
      </w:pPr>
    </w:lvl>
  </w:abstractNum>
  <w:abstractNum w:abstractNumId="16" w15:restartNumberingAfterBreak="0">
    <w:nsid w:val="60933EBE"/>
    <w:multiLevelType w:val="hybridMultilevel"/>
    <w:tmpl w:val="16DEBDDA"/>
    <w:lvl w:ilvl="0" w:tplc="26C2291A">
      <w:start w:val="464"/>
      <w:numFmt w:val="bullet"/>
      <w:lvlText w:val="-"/>
      <w:lvlJc w:val="left"/>
      <w:pPr>
        <w:ind w:left="720" w:hanging="360"/>
      </w:pPr>
      <w:rPr>
        <w:rFonts w:ascii="Calibri" w:eastAsia="SimSu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D1A470B"/>
    <w:multiLevelType w:val="hybridMultilevel"/>
    <w:tmpl w:val="8A903D94"/>
    <w:lvl w:ilvl="0" w:tplc="7158C1D2">
      <w:start w:val="1"/>
      <w:numFmt w:val="bullet"/>
      <w:lvlText w:val="−"/>
      <w:lvlJc w:val="left"/>
      <w:pPr>
        <w:ind w:left="360" w:hanging="360"/>
      </w:pPr>
      <w:rPr>
        <w:rFonts w:ascii="Arial" w:hAnsi="Arial" w:hint="default"/>
        <w:color w:val="00000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F4901C5"/>
    <w:multiLevelType w:val="hybridMultilevel"/>
    <w:tmpl w:val="03BED79C"/>
    <w:lvl w:ilvl="0" w:tplc="04240001">
      <w:start w:val="1"/>
      <w:numFmt w:val="bullet"/>
      <w:lvlText w:val=""/>
      <w:lvlJc w:val="left"/>
      <w:pPr>
        <w:ind w:left="360" w:hanging="360"/>
      </w:pPr>
      <w:rPr>
        <w:rFonts w:ascii="Symbol" w:hAnsi="Symbol"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2B61010"/>
    <w:multiLevelType w:val="hybridMultilevel"/>
    <w:tmpl w:val="94E228D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5517ED2"/>
    <w:multiLevelType w:val="hybridMultilevel"/>
    <w:tmpl w:val="4570529C"/>
    <w:lvl w:ilvl="0" w:tplc="0424000F">
      <w:start w:val="1"/>
      <w:numFmt w:val="decimal"/>
      <w:lvlText w:val="%1."/>
      <w:lvlJc w:val="left"/>
      <w:pPr>
        <w:ind w:left="1495" w:hanging="360"/>
      </w:pPr>
    </w:lvl>
    <w:lvl w:ilvl="1" w:tplc="04240019" w:tentative="1">
      <w:start w:val="1"/>
      <w:numFmt w:val="lowerLetter"/>
      <w:lvlText w:val="%2."/>
      <w:lvlJc w:val="left"/>
      <w:pPr>
        <w:ind w:left="2240" w:hanging="360"/>
      </w:pPr>
    </w:lvl>
    <w:lvl w:ilvl="2" w:tplc="0424001B" w:tentative="1">
      <w:start w:val="1"/>
      <w:numFmt w:val="lowerRoman"/>
      <w:lvlText w:val="%3."/>
      <w:lvlJc w:val="right"/>
      <w:pPr>
        <w:ind w:left="2960" w:hanging="180"/>
      </w:pPr>
    </w:lvl>
    <w:lvl w:ilvl="3" w:tplc="0424000F" w:tentative="1">
      <w:start w:val="1"/>
      <w:numFmt w:val="decimal"/>
      <w:lvlText w:val="%4."/>
      <w:lvlJc w:val="left"/>
      <w:pPr>
        <w:ind w:left="3680" w:hanging="360"/>
      </w:pPr>
    </w:lvl>
    <w:lvl w:ilvl="4" w:tplc="04240019" w:tentative="1">
      <w:start w:val="1"/>
      <w:numFmt w:val="lowerLetter"/>
      <w:lvlText w:val="%5."/>
      <w:lvlJc w:val="left"/>
      <w:pPr>
        <w:ind w:left="4400" w:hanging="360"/>
      </w:pPr>
    </w:lvl>
    <w:lvl w:ilvl="5" w:tplc="0424001B" w:tentative="1">
      <w:start w:val="1"/>
      <w:numFmt w:val="lowerRoman"/>
      <w:lvlText w:val="%6."/>
      <w:lvlJc w:val="right"/>
      <w:pPr>
        <w:ind w:left="5120" w:hanging="180"/>
      </w:pPr>
    </w:lvl>
    <w:lvl w:ilvl="6" w:tplc="0424000F" w:tentative="1">
      <w:start w:val="1"/>
      <w:numFmt w:val="decimal"/>
      <w:lvlText w:val="%7."/>
      <w:lvlJc w:val="left"/>
      <w:pPr>
        <w:ind w:left="5840" w:hanging="360"/>
      </w:pPr>
    </w:lvl>
    <w:lvl w:ilvl="7" w:tplc="04240019" w:tentative="1">
      <w:start w:val="1"/>
      <w:numFmt w:val="lowerLetter"/>
      <w:lvlText w:val="%8."/>
      <w:lvlJc w:val="left"/>
      <w:pPr>
        <w:ind w:left="6560" w:hanging="360"/>
      </w:pPr>
    </w:lvl>
    <w:lvl w:ilvl="8" w:tplc="0424001B" w:tentative="1">
      <w:start w:val="1"/>
      <w:numFmt w:val="lowerRoman"/>
      <w:lvlText w:val="%9."/>
      <w:lvlJc w:val="right"/>
      <w:pPr>
        <w:ind w:left="7280" w:hanging="180"/>
      </w:pPr>
    </w:lvl>
  </w:abstractNum>
  <w:abstractNum w:abstractNumId="21" w15:restartNumberingAfterBreak="0">
    <w:nsid w:val="797A0B84"/>
    <w:multiLevelType w:val="hybridMultilevel"/>
    <w:tmpl w:val="09B24B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D0F785F"/>
    <w:multiLevelType w:val="hybridMultilevel"/>
    <w:tmpl w:val="D75EE9D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ED17B9C"/>
    <w:multiLevelType w:val="hybridMultilevel"/>
    <w:tmpl w:val="969A1E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F85660D"/>
    <w:multiLevelType w:val="hybridMultilevel"/>
    <w:tmpl w:val="7F85660D"/>
    <w:lvl w:ilvl="0" w:tplc="1B90D814">
      <w:start w:val="1"/>
      <w:numFmt w:val="bullet"/>
      <w:lvlText w:val=""/>
      <w:lvlJc w:val="left"/>
      <w:pPr>
        <w:ind w:left="720" w:hanging="360"/>
      </w:pPr>
      <w:rPr>
        <w:rFonts w:ascii="Symbol" w:hAnsi="Symbol"/>
      </w:rPr>
    </w:lvl>
    <w:lvl w:ilvl="1" w:tplc="04A81F4E">
      <w:start w:val="1"/>
      <w:numFmt w:val="bullet"/>
      <w:lvlText w:val="o"/>
      <w:lvlJc w:val="left"/>
      <w:pPr>
        <w:tabs>
          <w:tab w:val="num" w:pos="1440"/>
        </w:tabs>
        <w:ind w:left="1440" w:hanging="360"/>
      </w:pPr>
      <w:rPr>
        <w:rFonts w:ascii="Courier New" w:hAnsi="Courier New"/>
      </w:rPr>
    </w:lvl>
    <w:lvl w:ilvl="2" w:tplc="551A4080">
      <w:start w:val="1"/>
      <w:numFmt w:val="bullet"/>
      <w:lvlText w:val=""/>
      <w:lvlJc w:val="left"/>
      <w:pPr>
        <w:tabs>
          <w:tab w:val="num" w:pos="2160"/>
        </w:tabs>
        <w:ind w:left="2160" w:hanging="360"/>
      </w:pPr>
      <w:rPr>
        <w:rFonts w:ascii="Wingdings" w:hAnsi="Wingdings"/>
      </w:rPr>
    </w:lvl>
    <w:lvl w:ilvl="3" w:tplc="0186B660">
      <w:start w:val="1"/>
      <w:numFmt w:val="bullet"/>
      <w:lvlText w:val=""/>
      <w:lvlJc w:val="left"/>
      <w:pPr>
        <w:tabs>
          <w:tab w:val="num" w:pos="2880"/>
        </w:tabs>
        <w:ind w:left="2880" w:hanging="360"/>
      </w:pPr>
      <w:rPr>
        <w:rFonts w:ascii="Symbol" w:hAnsi="Symbol"/>
      </w:rPr>
    </w:lvl>
    <w:lvl w:ilvl="4" w:tplc="F40E4F98">
      <w:start w:val="1"/>
      <w:numFmt w:val="bullet"/>
      <w:lvlText w:val="o"/>
      <w:lvlJc w:val="left"/>
      <w:pPr>
        <w:tabs>
          <w:tab w:val="num" w:pos="3600"/>
        </w:tabs>
        <w:ind w:left="3600" w:hanging="360"/>
      </w:pPr>
      <w:rPr>
        <w:rFonts w:ascii="Courier New" w:hAnsi="Courier New"/>
      </w:rPr>
    </w:lvl>
    <w:lvl w:ilvl="5" w:tplc="FCD64C3A">
      <w:start w:val="1"/>
      <w:numFmt w:val="bullet"/>
      <w:lvlText w:val=""/>
      <w:lvlJc w:val="left"/>
      <w:pPr>
        <w:tabs>
          <w:tab w:val="num" w:pos="4320"/>
        </w:tabs>
        <w:ind w:left="4320" w:hanging="360"/>
      </w:pPr>
      <w:rPr>
        <w:rFonts w:ascii="Wingdings" w:hAnsi="Wingdings"/>
      </w:rPr>
    </w:lvl>
    <w:lvl w:ilvl="6" w:tplc="BD365C02">
      <w:start w:val="1"/>
      <w:numFmt w:val="bullet"/>
      <w:lvlText w:val=""/>
      <w:lvlJc w:val="left"/>
      <w:pPr>
        <w:tabs>
          <w:tab w:val="num" w:pos="5040"/>
        </w:tabs>
        <w:ind w:left="5040" w:hanging="360"/>
      </w:pPr>
      <w:rPr>
        <w:rFonts w:ascii="Symbol" w:hAnsi="Symbol"/>
      </w:rPr>
    </w:lvl>
    <w:lvl w:ilvl="7" w:tplc="3506B3EC">
      <w:start w:val="1"/>
      <w:numFmt w:val="bullet"/>
      <w:lvlText w:val="o"/>
      <w:lvlJc w:val="left"/>
      <w:pPr>
        <w:tabs>
          <w:tab w:val="num" w:pos="5760"/>
        </w:tabs>
        <w:ind w:left="5760" w:hanging="360"/>
      </w:pPr>
      <w:rPr>
        <w:rFonts w:ascii="Courier New" w:hAnsi="Courier New"/>
      </w:rPr>
    </w:lvl>
    <w:lvl w:ilvl="8" w:tplc="02165906">
      <w:start w:val="1"/>
      <w:numFmt w:val="bullet"/>
      <w:lvlText w:val=""/>
      <w:lvlJc w:val="left"/>
      <w:pPr>
        <w:tabs>
          <w:tab w:val="num" w:pos="6480"/>
        </w:tabs>
        <w:ind w:left="6480" w:hanging="360"/>
      </w:pPr>
      <w:rPr>
        <w:rFonts w:ascii="Wingdings" w:hAnsi="Wingdings"/>
      </w:rPr>
    </w:lvl>
  </w:abstractNum>
  <w:num w:numId="1">
    <w:abstractNumId w:val="16"/>
  </w:num>
  <w:num w:numId="2">
    <w:abstractNumId w:val="21"/>
  </w:num>
  <w:num w:numId="3">
    <w:abstractNumId w:val="23"/>
  </w:num>
  <w:num w:numId="4">
    <w:abstractNumId w:val="22"/>
  </w:num>
  <w:num w:numId="5">
    <w:abstractNumId w:val="14"/>
  </w:num>
  <w:num w:numId="6">
    <w:abstractNumId w:val="0"/>
  </w:num>
  <w:num w:numId="7">
    <w:abstractNumId w:val="17"/>
  </w:num>
  <w:num w:numId="8">
    <w:abstractNumId w:val="18"/>
  </w:num>
  <w:num w:numId="9">
    <w:abstractNumId w:val="3"/>
  </w:num>
  <w:num w:numId="10">
    <w:abstractNumId w:val="24"/>
  </w:num>
  <w:num w:numId="11">
    <w:abstractNumId w:val="6"/>
  </w:num>
  <w:num w:numId="12">
    <w:abstractNumId w:val="5"/>
  </w:num>
  <w:num w:numId="13">
    <w:abstractNumId w:val="11"/>
  </w:num>
  <w:num w:numId="14">
    <w:abstractNumId w:val="9"/>
  </w:num>
  <w:num w:numId="15">
    <w:abstractNumId w:val="10"/>
  </w:num>
  <w:num w:numId="16">
    <w:abstractNumId w:val="13"/>
  </w:num>
  <w:num w:numId="17">
    <w:abstractNumId w:val="19"/>
  </w:num>
  <w:num w:numId="18">
    <w:abstractNumId w:val="2"/>
  </w:num>
  <w:num w:numId="19">
    <w:abstractNumId w:val="12"/>
  </w:num>
  <w:num w:numId="20">
    <w:abstractNumId w:val="1"/>
  </w:num>
  <w:num w:numId="21">
    <w:abstractNumId w:val="20"/>
  </w:num>
  <w:num w:numId="22">
    <w:abstractNumId w:val="7"/>
  </w:num>
  <w:num w:numId="23">
    <w:abstractNumId w:val="15"/>
  </w:num>
  <w:num w:numId="24">
    <w:abstractNumId w:val="8"/>
  </w:num>
  <w:num w:numId="25">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45C"/>
    <w:rsid w:val="0000107C"/>
    <w:rsid w:val="0000197F"/>
    <w:rsid w:val="0000459F"/>
    <w:rsid w:val="00004E94"/>
    <w:rsid w:val="00006A1E"/>
    <w:rsid w:val="0000779E"/>
    <w:rsid w:val="00010795"/>
    <w:rsid w:val="00017F1E"/>
    <w:rsid w:val="00026052"/>
    <w:rsid w:val="000263A6"/>
    <w:rsid w:val="00026EC4"/>
    <w:rsid w:val="00027620"/>
    <w:rsid w:val="00027804"/>
    <w:rsid w:val="0003082C"/>
    <w:rsid w:val="00031704"/>
    <w:rsid w:val="00032E3B"/>
    <w:rsid w:val="000330EB"/>
    <w:rsid w:val="000344E3"/>
    <w:rsid w:val="00036E90"/>
    <w:rsid w:val="00040909"/>
    <w:rsid w:val="00041DA3"/>
    <w:rsid w:val="00042C60"/>
    <w:rsid w:val="00044380"/>
    <w:rsid w:val="00047AE8"/>
    <w:rsid w:val="00047BBD"/>
    <w:rsid w:val="00053F80"/>
    <w:rsid w:val="00060D4A"/>
    <w:rsid w:val="00063FC9"/>
    <w:rsid w:val="000643A3"/>
    <w:rsid w:val="00065321"/>
    <w:rsid w:val="00065519"/>
    <w:rsid w:val="00065723"/>
    <w:rsid w:val="000669D1"/>
    <w:rsid w:val="00067A4D"/>
    <w:rsid w:val="00072F1B"/>
    <w:rsid w:val="000739E4"/>
    <w:rsid w:val="000752E7"/>
    <w:rsid w:val="00083839"/>
    <w:rsid w:val="000872DD"/>
    <w:rsid w:val="00090DFD"/>
    <w:rsid w:val="000A08D4"/>
    <w:rsid w:val="000A18EA"/>
    <w:rsid w:val="000A5F99"/>
    <w:rsid w:val="000A67C4"/>
    <w:rsid w:val="000A680C"/>
    <w:rsid w:val="000A6C1D"/>
    <w:rsid w:val="000B2A7F"/>
    <w:rsid w:val="000B6B50"/>
    <w:rsid w:val="000B7506"/>
    <w:rsid w:val="000C4FCF"/>
    <w:rsid w:val="000C58D2"/>
    <w:rsid w:val="000C5EAC"/>
    <w:rsid w:val="000C6909"/>
    <w:rsid w:val="000D6DD7"/>
    <w:rsid w:val="000E2E09"/>
    <w:rsid w:val="000E350F"/>
    <w:rsid w:val="000E416D"/>
    <w:rsid w:val="000E4277"/>
    <w:rsid w:val="000E48FB"/>
    <w:rsid w:val="000E5BD1"/>
    <w:rsid w:val="000F75DE"/>
    <w:rsid w:val="000F7638"/>
    <w:rsid w:val="000F7994"/>
    <w:rsid w:val="001006D5"/>
    <w:rsid w:val="00101D7A"/>
    <w:rsid w:val="00102891"/>
    <w:rsid w:val="001109CF"/>
    <w:rsid w:val="00110D00"/>
    <w:rsid w:val="00112FD9"/>
    <w:rsid w:val="0011388D"/>
    <w:rsid w:val="00116ECF"/>
    <w:rsid w:val="0012227E"/>
    <w:rsid w:val="00126467"/>
    <w:rsid w:val="00126523"/>
    <w:rsid w:val="00130164"/>
    <w:rsid w:val="00133BDD"/>
    <w:rsid w:val="001362DE"/>
    <w:rsid w:val="00137AF4"/>
    <w:rsid w:val="001401C4"/>
    <w:rsid w:val="00143F94"/>
    <w:rsid w:val="00144536"/>
    <w:rsid w:val="00156579"/>
    <w:rsid w:val="00157DDB"/>
    <w:rsid w:val="001639C0"/>
    <w:rsid w:val="00167CE0"/>
    <w:rsid w:val="00171D61"/>
    <w:rsid w:val="001745F1"/>
    <w:rsid w:val="00174A67"/>
    <w:rsid w:val="00175EF8"/>
    <w:rsid w:val="00177394"/>
    <w:rsid w:val="00182190"/>
    <w:rsid w:val="00183135"/>
    <w:rsid w:val="00184C8C"/>
    <w:rsid w:val="0019029D"/>
    <w:rsid w:val="00192FCB"/>
    <w:rsid w:val="00196B64"/>
    <w:rsid w:val="00197833"/>
    <w:rsid w:val="001A0BDD"/>
    <w:rsid w:val="001A1E32"/>
    <w:rsid w:val="001A6213"/>
    <w:rsid w:val="001B0205"/>
    <w:rsid w:val="001B0609"/>
    <w:rsid w:val="001B0919"/>
    <w:rsid w:val="001B0BCD"/>
    <w:rsid w:val="001B2D27"/>
    <w:rsid w:val="001B326D"/>
    <w:rsid w:val="001B3A21"/>
    <w:rsid w:val="001B58DD"/>
    <w:rsid w:val="001C1DE6"/>
    <w:rsid w:val="001C2268"/>
    <w:rsid w:val="001C4E90"/>
    <w:rsid w:val="001D23CA"/>
    <w:rsid w:val="001D376B"/>
    <w:rsid w:val="001E1B2B"/>
    <w:rsid w:val="001E2A65"/>
    <w:rsid w:val="001E5CD9"/>
    <w:rsid w:val="001E7253"/>
    <w:rsid w:val="001F051C"/>
    <w:rsid w:val="001F13D3"/>
    <w:rsid w:val="001F1729"/>
    <w:rsid w:val="001F1BF2"/>
    <w:rsid w:val="001F21A0"/>
    <w:rsid w:val="001F50FE"/>
    <w:rsid w:val="001F540B"/>
    <w:rsid w:val="001F557C"/>
    <w:rsid w:val="001F7930"/>
    <w:rsid w:val="00200506"/>
    <w:rsid w:val="002038B7"/>
    <w:rsid w:val="00204537"/>
    <w:rsid w:val="002066CF"/>
    <w:rsid w:val="002104F1"/>
    <w:rsid w:val="00212CD0"/>
    <w:rsid w:val="00214AA9"/>
    <w:rsid w:val="00216219"/>
    <w:rsid w:val="00222452"/>
    <w:rsid w:val="0023018A"/>
    <w:rsid w:val="00230FFE"/>
    <w:rsid w:val="00233521"/>
    <w:rsid w:val="002366F0"/>
    <w:rsid w:val="002404E0"/>
    <w:rsid w:val="00242B0F"/>
    <w:rsid w:val="00247554"/>
    <w:rsid w:val="00247A9E"/>
    <w:rsid w:val="002521FE"/>
    <w:rsid w:val="00253EC5"/>
    <w:rsid w:val="0025676E"/>
    <w:rsid w:val="00257C13"/>
    <w:rsid w:val="002632A6"/>
    <w:rsid w:val="00264633"/>
    <w:rsid w:val="00265B04"/>
    <w:rsid w:val="00267964"/>
    <w:rsid w:val="00267FA5"/>
    <w:rsid w:val="00272868"/>
    <w:rsid w:val="00272D2A"/>
    <w:rsid w:val="00274D4E"/>
    <w:rsid w:val="00280335"/>
    <w:rsid w:val="00280EAD"/>
    <w:rsid w:val="0028148F"/>
    <w:rsid w:val="00281BCD"/>
    <w:rsid w:val="00281E50"/>
    <w:rsid w:val="002854CC"/>
    <w:rsid w:val="00290880"/>
    <w:rsid w:val="00290FFE"/>
    <w:rsid w:val="00292294"/>
    <w:rsid w:val="00296A5D"/>
    <w:rsid w:val="002A0812"/>
    <w:rsid w:val="002A4DB4"/>
    <w:rsid w:val="002A70A8"/>
    <w:rsid w:val="002B150F"/>
    <w:rsid w:val="002B4178"/>
    <w:rsid w:val="002B56B1"/>
    <w:rsid w:val="002C1732"/>
    <w:rsid w:val="002C23AB"/>
    <w:rsid w:val="002C3A04"/>
    <w:rsid w:val="002C3AC7"/>
    <w:rsid w:val="002C42B2"/>
    <w:rsid w:val="002C5F48"/>
    <w:rsid w:val="002C791F"/>
    <w:rsid w:val="002D044E"/>
    <w:rsid w:val="002D0612"/>
    <w:rsid w:val="002D08A6"/>
    <w:rsid w:val="002D2746"/>
    <w:rsid w:val="002D3147"/>
    <w:rsid w:val="002E3492"/>
    <w:rsid w:val="002E3B34"/>
    <w:rsid w:val="002E6E78"/>
    <w:rsid w:val="002F0DFB"/>
    <w:rsid w:val="002F4282"/>
    <w:rsid w:val="002F6C77"/>
    <w:rsid w:val="002F6D4F"/>
    <w:rsid w:val="002F7339"/>
    <w:rsid w:val="002F7EA7"/>
    <w:rsid w:val="00300EE0"/>
    <w:rsid w:val="00302B60"/>
    <w:rsid w:val="00303A75"/>
    <w:rsid w:val="00310AB1"/>
    <w:rsid w:val="00311089"/>
    <w:rsid w:val="00311EFF"/>
    <w:rsid w:val="00312B80"/>
    <w:rsid w:val="00315469"/>
    <w:rsid w:val="00316735"/>
    <w:rsid w:val="0032147E"/>
    <w:rsid w:val="00321944"/>
    <w:rsid w:val="00325D0E"/>
    <w:rsid w:val="003271D0"/>
    <w:rsid w:val="003302D1"/>
    <w:rsid w:val="00331FCA"/>
    <w:rsid w:val="003346FA"/>
    <w:rsid w:val="00337CC2"/>
    <w:rsid w:val="0034493A"/>
    <w:rsid w:val="00346201"/>
    <w:rsid w:val="00350323"/>
    <w:rsid w:val="00350745"/>
    <w:rsid w:val="00350956"/>
    <w:rsid w:val="00353576"/>
    <w:rsid w:val="00363BB1"/>
    <w:rsid w:val="0036448D"/>
    <w:rsid w:val="0036736F"/>
    <w:rsid w:val="00370430"/>
    <w:rsid w:val="003714CC"/>
    <w:rsid w:val="00371BA2"/>
    <w:rsid w:val="00373D81"/>
    <w:rsid w:val="00374793"/>
    <w:rsid w:val="00375474"/>
    <w:rsid w:val="00383FD0"/>
    <w:rsid w:val="0038463E"/>
    <w:rsid w:val="003859B4"/>
    <w:rsid w:val="00392FCA"/>
    <w:rsid w:val="003979D8"/>
    <w:rsid w:val="003A0804"/>
    <w:rsid w:val="003A133A"/>
    <w:rsid w:val="003A35ED"/>
    <w:rsid w:val="003A3A98"/>
    <w:rsid w:val="003A4F9B"/>
    <w:rsid w:val="003A6DBB"/>
    <w:rsid w:val="003B12A3"/>
    <w:rsid w:val="003B51F9"/>
    <w:rsid w:val="003C006B"/>
    <w:rsid w:val="003C0E99"/>
    <w:rsid w:val="003C5DF9"/>
    <w:rsid w:val="003D19EF"/>
    <w:rsid w:val="003D6126"/>
    <w:rsid w:val="003E18C6"/>
    <w:rsid w:val="003E1A54"/>
    <w:rsid w:val="003E1A7B"/>
    <w:rsid w:val="003E2EF0"/>
    <w:rsid w:val="003E4DA2"/>
    <w:rsid w:val="003E627B"/>
    <w:rsid w:val="003F09E8"/>
    <w:rsid w:val="003F0BC3"/>
    <w:rsid w:val="003F62D8"/>
    <w:rsid w:val="004007A5"/>
    <w:rsid w:val="0040459A"/>
    <w:rsid w:val="00404FC8"/>
    <w:rsid w:val="0040689E"/>
    <w:rsid w:val="004112F6"/>
    <w:rsid w:val="00415899"/>
    <w:rsid w:val="00421274"/>
    <w:rsid w:val="0042535A"/>
    <w:rsid w:val="00425F17"/>
    <w:rsid w:val="0042791B"/>
    <w:rsid w:val="0043089F"/>
    <w:rsid w:val="00434285"/>
    <w:rsid w:val="00434AAB"/>
    <w:rsid w:val="00436477"/>
    <w:rsid w:val="00437D7D"/>
    <w:rsid w:val="00441A17"/>
    <w:rsid w:val="004427C0"/>
    <w:rsid w:val="00442EBD"/>
    <w:rsid w:val="00443397"/>
    <w:rsid w:val="0044405C"/>
    <w:rsid w:val="0044706F"/>
    <w:rsid w:val="004505A6"/>
    <w:rsid w:val="00451A71"/>
    <w:rsid w:val="00453741"/>
    <w:rsid w:val="0046032C"/>
    <w:rsid w:val="00464B51"/>
    <w:rsid w:val="0046523B"/>
    <w:rsid w:val="0046638E"/>
    <w:rsid w:val="004667E9"/>
    <w:rsid w:val="0047034E"/>
    <w:rsid w:val="00472D69"/>
    <w:rsid w:val="004765AF"/>
    <w:rsid w:val="00483707"/>
    <w:rsid w:val="0048653E"/>
    <w:rsid w:val="00492E12"/>
    <w:rsid w:val="0049477B"/>
    <w:rsid w:val="00495A3A"/>
    <w:rsid w:val="004A0753"/>
    <w:rsid w:val="004A11E7"/>
    <w:rsid w:val="004A5B3C"/>
    <w:rsid w:val="004B77DE"/>
    <w:rsid w:val="004C08C6"/>
    <w:rsid w:val="004C0A4E"/>
    <w:rsid w:val="004C0C23"/>
    <w:rsid w:val="004C1F37"/>
    <w:rsid w:val="004C20D9"/>
    <w:rsid w:val="004C34A2"/>
    <w:rsid w:val="004C64D6"/>
    <w:rsid w:val="004C776D"/>
    <w:rsid w:val="004C797B"/>
    <w:rsid w:val="004D59A1"/>
    <w:rsid w:val="004D6254"/>
    <w:rsid w:val="004E0D7A"/>
    <w:rsid w:val="004F043E"/>
    <w:rsid w:val="004F57FB"/>
    <w:rsid w:val="004F5C21"/>
    <w:rsid w:val="004F6447"/>
    <w:rsid w:val="00501A9D"/>
    <w:rsid w:val="00503D00"/>
    <w:rsid w:val="005043AD"/>
    <w:rsid w:val="00505343"/>
    <w:rsid w:val="00506150"/>
    <w:rsid w:val="005171E9"/>
    <w:rsid w:val="00520C07"/>
    <w:rsid w:val="00521F7B"/>
    <w:rsid w:val="005232FD"/>
    <w:rsid w:val="00524DB0"/>
    <w:rsid w:val="005309DC"/>
    <w:rsid w:val="00532DB2"/>
    <w:rsid w:val="00532FF0"/>
    <w:rsid w:val="00536246"/>
    <w:rsid w:val="005362BD"/>
    <w:rsid w:val="0054242E"/>
    <w:rsid w:val="00542484"/>
    <w:rsid w:val="00542769"/>
    <w:rsid w:val="005428DF"/>
    <w:rsid w:val="0054474C"/>
    <w:rsid w:val="00544827"/>
    <w:rsid w:val="0054705A"/>
    <w:rsid w:val="00550EC1"/>
    <w:rsid w:val="0055127B"/>
    <w:rsid w:val="00552622"/>
    <w:rsid w:val="00552F0B"/>
    <w:rsid w:val="00553B9B"/>
    <w:rsid w:val="005545B2"/>
    <w:rsid w:val="00554F2D"/>
    <w:rsid w:val="005611F5"/>
    <w:rsid w:val="00561FE2"/>
    <w:rsid w:val="00563A74"/>
    <w:rsid w:val="005652C0"/>
    <w:rsid w:val="005662B1"/>
    <w:rsid w:val="00572280"/>
    <w:rsid w:val="00576067"/>
    <w:rsid w:val="00580405"/>
    <w:rsid w:val="005807DD"/>
    <w:rsid w:val="00584A88"/>
    <w:rsid w:val="0059314C"/>
    <w:rsid w:val="005937F8"/>
    <w:rsid w:val="00593F94"/>
    <w:rsid w:val="005943DA"/>
    <w:rsid w:val="00596C44"/>
    <w:rsid w:val="00597397"/>
    <w:rsid w:val="005A1D5C"/>
    <w:rsid w:val="005A4974"/>
    <w:rsid w:val="005A6B5B"/>
    <w:rsid w:val="005A6E74"/>
    <w:rsid w:val="005B0F3B"/>
    <w:rsid w:val="005B3C86"/>
    <w:rsid w:val="005B4EB3"/>
    <w:rsid w:val="005B7F30"/>
    <w:rsid w:val="005C3986"/>
    <w:rsid w:val="005C39AA"/>
    <w:rsid w:val="005C48E1"/>
    <w:rsid w:val="005C5EAC"/>
    <w:rsid w:val="005E1236"/>
    <w:rsid w:val="005E16E3"/>
    <w:rsid w:val="005E3512"/>
    <w:rsid w:val="005E5828"/>
    <w:rsid w:val="005E7303"/>
    <w:rsid w:val="005F494D"/>
    <w:rsid w:val="005F6402"/>
    <w:rsid w:val="005F72DA"/>
    <w:rsid w:val="005F7789"/>
    <w:rsid w:val="00602152"/>
    <w:rsid w:val="006031A2"/>
    <w:rsid w:val="00603E73"/>
    <w:rsid w:val="006042F5"/>
    <w:rsid w:val="006054CF"/>
    <w:rsid w:val="00607555"/>
    <w:rsid w:val="00607CA8"/>
    <w:rsid w:val="00610C9B"/>
    <w:rsid w:val="0061262E"/>
    <w:rsid w:val="006136E6"/>
    <w:rsid w:val="00615B47"/>
    <w:rsid w:val="00615B98"/>
    <w:rsid w:val="006169B6"/>
    <w:rsid w:val="006172D5"/>
    <w:rsid w:val="006210F3"/>
    <w:rsid w:val="006211D1"/>
    <w:rsid w:val="006226FB"/>
    <w:rsid w:val="0062341A"/>
    <w:rsid w:val="006258A1"/>
    <w:rsid w:val="00630606"/>
    <w:rsid w:val="00633758"/>
    <w:rsid w:val="00634541"/>
    <w:rsid w:val="00636224"/>
    <w:rsid w:val="00637021"/>
    <w:rsid w:val="00640493"/>
    <w:rsid w:val="006479E8"/>
    <w:rsid w:val="00650174"/>
    <w:rsid w:val="00652616"/>
    <w:rsid w:val="006532BB"/>
    <w:rsid w:val="006537E8"/>
    <w:rsid w:val="00653D98"/>
    <w:rsid w:val="00654406"/>
    <w:rsid w:val="00655E72"/>
    <w:rsid w:val="006567B8"/>
    <w:rsid w:val="006660C6"/>
    <w:rsid w:val="006672FC"/>
    <w:rsid w:val="00673597"/>
    <w:rsid w:val="00673785"/>
    <w:rsid w:val="00677931"/>
    <w:rsid w:val="0068186B"/>
    <w:rsid w:val="00690675"/>
    <w:rsid w:val="00691B21"/>
    <w:rsid w:val="00693537"/>
    <w:rsid w:val="00693973"/>
    <w:rsid w:val="006A1169"/>
    <w:rsid w:val="006A3342"/>
    <w:rsid w:val="006A4C6F"/>
    <w:rsid w:val="006A70D6"/>
    <w:rsid w:val="006B129F"/>
    <w:rsid w:val="006B1CF8"/>
    <w:rsid w:val="006B31C1"/>
    <w:rsid w:val="006C0567"/>
    <w:rsid w:val="006C3AAB"/>
    <w:rsid w:val="006C504E"/>
    <w:rsid w:val="006C7B4A"/>
    <w:rsid w:val="006D017E"/>
    <w:rsid w:val="006D193D"/>
    <w:rsid w:val="006D1B47"/>
    <w:rsid w:val="006D386E"/>
    <w:rsid w:val="006D6E54"/>
    <w:rsid w:val="006D6FD1"/>
    <w:rsid w:val="006E0441"/>
    <w:rsid w:val="006F1D1B"/>
    <w:rsid w:val="006F4DC1"/>
    <w:rsid w:val="00700978"/>
    <w:rsid w:val="007032A1"/>
    <w:rsid w:val="00713984"/>
    <w:rsid w:val="00715193"/>
    <w:rsid w:val="00716DAB"/>
    <w:rsid w:val="007172EB"/>
    <w:rsid w:val="007179C6"/>
    <w:rsid w:val="00725B62"/>
    <w:rsid w:val="00730C34"/>
    <w:rsid w:val="00731065"/>
    <w:rsid w:val="007311E1"/>
    <w:rsid w:val="00731402"/>
    <w:rsid w:val="007330B8"/>
    <w:rsid w:val="00736E56"/>
    <w:rsid w:val="00740700"/>
    <w:rsid w:val="00742A6F"/>
    <w:rsid w:val="007432F2"/>
    <w:rsid w:val="00744B6A"/>
    <w:rsid w:val="007477FF"/>
    <w:rsid w:val="00750105"/>
    <w:rsid w:val="0075090B"/>
    <w:rsid w:val="00752727"/>
    <w:rsid w:val="007554B9"/>
    <w:rsid w:val="00757575"/>
    <w:rsid w:val="00760837"/>
    <w:rsid w:val="007636F5"/>
    <w:rsid w:val="00764205"/>
    <w:rsid w:val="00765D8D"/>
    <w:rsid w:val="00767F20"/>
    <w:rsid w:val="00771D0C"/>
    <w:rsid w:val="00772070"/>
    <w:rsid w:val="00786C41"/>
    <w:rsid w:val="0079028C"/>
    <w:rsid w:val="007935E0"/>
    <w:rsid w:val="007948EA"/>
    <w:rsid w:val="007A0D71"/>
    <w:rsid w:val="007B4844"/>
    <w:rsid w:val="007B5EFD"/>
    <w:rsid w:val="007B6006"/>
    <w:rsid w:val="007C028F"/>
    <w:rsid w:val="007C2D48"/>
    <w:rsid w:val="007C3A9A"/>
    <w:rsid w:val="007C4867"/>
    <w:rsid w:val="007C785B"/>
    <w:rsid w:val="007D1705"/>
    <w:rsid w:val="007D2B38"/>
    <w:rsid w:val="007D3670"/>
    <w:rsid w:val="007E2782"/>
    <w:rsid w:val="007E6EBC"/>
    <w:rsid w:val="007F0DBC"/>
    <w:rsid w:val="007F1588"/>
    <w:rsid w:val="007F28F9"/>
    <w:rsid w:val="007F2F49"/>
    <w:rsid w:val="007F543D"/>
    <w:rsid w:val="007F5465"/>
    <w:rsid w:val="007F6CF0"/>
    <w:rsid w:val="007F7F37"/>
    <w:rsid w:val="00800EAA"/>
    <w:rsid w:val="00807AF5"/>
    <w:rsid w:val="00810C25"/>
    <w:rsid w:val="00811241"/>
    <w:rsid w:val="0081205A"/>
    <w:rsid w:val="00814F56"/>
    <w:rsid w:val="00815E9A"/>
    <w:rsid w:val="008175E9"/>
    <w:rsid w:val="00821D1B"/>
    <w:rsid w:val="00822727"/>
    <w:rsid w:val="00822BE1"/>
    <w:rsid w:val="00823C96"/>
    <w:rsid w:val="008242A6"/>
    <w:rsid w:val="008246B9"/>
    <w:rsid w:val="008340BD"/>
    <w:rsid w:val="00834EE7"/>
    <w:rsid w:val="00836451"/>
    <w:rsid w:val="00842C5C"/>
    <w:rsid w:val="0084547E"/>
    <w:rsid w:val="00855DE4"/>
    <w:rsid w:val="0085773C"/>
    <w:rsid w:val="008618F5"/>
    <w:rsid w:val="00862E03"/>
    <w:rsid w:val="00863E7A"/>
    <w:rsid w:val="0086599D"/>
    <w:rsid w:val="00865EA6"/>
    <w:rsid w:val="00874FD9"/>
    <w:rsid w:val="00875995"/>
    <w:rsid w:val="00875C6C"/>
    <w:rsid w:val="00876CF6"/>
    <w:rsid w:val="00887630"/>
    <w:rsid w:val="00887B9D"/>
    <w:rsid w:val="00891AB2"/>
    <w:rsid w:val="00896C26"/>
    <w:rsid w:val="00896CC3"/>
    <w:rsid w:val="008A0E16"/>
    <w:rsid w:val="008A12F1"/>
    <w:rsid w:val="008A2B2E"/>
    <w:rsid w:val="008A3DC0"/>
    <w:rsid w:val="008B3BC1"/>
    <w:rsid w:val="008B7622"/>
    <w:rsid w:val="008C085F"/>
    <w:rsid w:val="008C17E4"/>
    <w:rsid w:val="008C2C25"/>
    <w:rsid w:val="008C3085"/>
    <w:rsid w:val="008C3CD4"/>
    <w:rsid w:val="008D11A0"/>
    <w:rsid w:val="008D3CC8"/>
    <w:rsid w:val="008D3EA4"/>
    <w:rsid w:val="008D5370"/>
    <w:rsid w:val="008D68E1"/>
    <w:rsid w:val="008E1CA8"/>
    <w:rsid w:val="00901DE9"/>
    <w:rsid w:val="00903E8B"/>
    <w:rsid w:val="00904789"/>
    <w:rsid w:val="00906513"/>
    <w:rsid w:val="0090761D"/>
    <w:rsid w:val="00910731"/>
    <w:rsid w:val="00911C58"/>
    <w:rsid w:val="0091494A"/>
    <w:rsid w:val="0091557F"/>
    <w:rsid w:val="00916F00"/>
    <w:rsid w:val="0091775D"/>
    <w:rsid w:val="00917E3F"/>
    <w:rsid w:val="00920D04"/>
    <w:rsid w:val="0093164D"/>
    <w:rsid w:val="00932BA8"/>
    <w:rsid w:val="0093357C"/>
    <w:rsid w:val="00933AB5"/>
    <w:rsid w:val="00933EB1"/>
    <w:rsid w:val="00934486"/>
    <w:rsid w:val="009344E0"/>
    <w:rsid w:val="00935504"/>
    <w:rsid w:val="00937F81"/>
    <w:rsid w:val="0094116C"/>
    <w:rsid w:val="0094507F"/>
    <w:rsid w:val="0094627E"/>
    <w:rsid w:val="00946796"/>
    <w:rsid w:val="00947DF4"/>
    <w:rsid w:val="00951F60"/>
    <w:rsid w:val="009526E5"/>
    <w:rsid w:val="00954DA0"/>
    <w:rsid w:val="00955CE5"/>
    <w:rsid w:val="00956BA9"/>
    <w:rsid w:val="00962A31"/>
    <w:rsid w:val="00963FAE"/>
    <w:rsid w:val="0096786F"/>
    <w:rsid w:val="009742A6"/>
    <w:rsid w:val="00976E42"/>
    <w:rsid w:val="00977E94"/>
    <w:rsid w:val="00982AFD"/>
    <w:rsid w:val="009836AF"/>
    <w:rsid w:val="009911A7"/>
    <w:rsid w:val="009917C8"/>
    <w:rsid w:val="00991F46"/>
    <w:rsid w:val="009A0739"/>
    <w:rsid w:val="009A3673"/>
    <w:rsid w:val="009A457C"/>
    <w:rsid w:val="009A5544"/>
    <w:rsid w:val="009A75F1"/>
    <w:rsid w:val="009B1E99"/>
    <w:rsid w:val="009B3A70"/>
    <w:rsid w:val="009B4656"/>
    <w:rsid w:val="009C510D"/>
    <w:rsid w:val="009C5FB1"/>
    <w:rsid w:val="009D5900"/>
    <w:rsid w:val="009D5D6E"/>
    <w:rsid w:val="009D61E9"/>
    <w:rsid w:val="009E3616"/>
    <w:rsid w:val="009E627F"/>
    <w:rsid w:val="009F043A"/>
    <w:rsid w:val="009F298A"/>
    <w:rsid w:val="009F5970"/>
    <w:rsid w:val="00A00992"/>
    <w:rsid w:val="00A03BED"/>
    <w:rsid w:val="00A05B66"/>
    <w:rsid w:val="00A06D00"/>
    <w:rsid w:val="00A112BD"/>
    <w:rsid w:val="00A123D2"/>
    <w:rsid w:val="00A247DA"/>
    <w:rsid w:val="00A27317"/>
    <w:rsid w:val="00A27459"/>
    <w:rsid w:val="00A27CAE"/>
    <w:rsid w:val="00A33F2C"/>
    <w:rsid w:val="00A4688C"/>
    <w:rsid w:val="00A4786B"/>
    <w:rsid w:val="00A50013"/>
    <w:rsid w:val="00A50205"/>
    <w:rsid w:val="00A51E32"/>
    <w:rsid w:val="00A527AC"/>
    <w:rsid w:val="00A52F58"/>
    <w:rsid w:val="00A53433"/>
    <w:rsid w:val="00A563A5"/>
    <w:rsid w:val="00A61A95"/>
    <w:rsid w:val="00A62BF2"/>
    <w:rsid w:val="00A63CDD"/>
    <w:rsid w:val="00A66045"/>
    <w:rsid w:val="00A6666F"/>
    <w:rsid w:val="00A8240D"/>
    <w:rsid w:val="00A8546B"/>
    <w:rsid w:val="00A854A1"/>
    <w:rsid w:val="00A91E60"/>
    <w:rsid w:val="00A924ED"/>
    <w:rsid w:val="00A932A4"/>
    <w:rsid w:val="00A977AB"/>
    <w:rsid w:val="00A97C2D"/>
    <w:rsid w:val="00AA3429"/>
    <w:rsid w:val="00AA4EC8"/>
    <w:rsid w:val="00AA6499"/>
    <w:rsid w:val="00AB1A6E"/>
    <w:rsid w:val="00AB4091"/>
    <w:rsid w:val="00AB4A15"/>
    <w:rsid w:val="00AC0D8D"/>
    <w:rsid w:val="00AC42A4"/>
    <w:rsid w:val="00AC6716"/>
    <w:rsid w:val="00AC716B"/>
    <w:rsid w:val="00AD1110"/>
    <w:rsid w:val="00AD1C70"/>
    <w:rsid w:val="00AD22D9"/>
    <w:rsid w:val="00AD40F8"/>
    <w:rsid w:val="00AD6473"/>
    <w:rsid w:val="00AD76AA"/>
    <w:rsid w:val="00AD7B9A"/>
    <w:rsid w:val="00AE1EA6"/>
    <w:rsid w:val="00AF09B3"/>
    <w:rsid w:val="00AF29C9"/>
    <w:rsid w:val="00AF31B9"/>
    <w:rsid w:val="00AF407C"/>
    <w:rsid w:val="00AF5259"/>
    <w:rsid w:val="00B004F1"/>
    <w:rsid w:val="00B0147B"/>
    <w:rsid w:val="00B01DFB"/>
    <w:rsid w:val="00B037C7"/>
    <w:rsid w:val="00B079B1"/>
    <w:rsid w:val="00B10474"/>
    <w:rsid w:val="00B15CB0"/>
    <w:rsid w:val="00B27906"/>
    <w:rsid w:val="00B27E6B"/>
    <w:rsid w:val="00B356C9"/>
    <w:rsid w:val="00B4061D"/>
    <w:rsid w:val="00B4157B"/>
    <w:rsid w:val="00B451C9"/>
    <w:rsid w:val="00B50E89"/>
    <w:rsid w:val="00B5659E"/>
    <w:rsid w:val="00B6429B"/>
    <w:rsid w:val="00B67A27"/>
    <w:rsid w:val="00B72E01"/>
    <w:rsid w:val="00B763D6"/>
    <w:rsid w:val="00B7764E"/>
    <w:rsid w:val="00B80236"/>
    <w:rsid w:val="00B85D9F"/>
    <w:rsid w:val="00B87603"/>
    <w:rsid w:val="00B878DA"/>
    <w:rsid w:val="00B87C07"/>
    <w:rsid w:val="00B905FD"/>
    <w:rsid w:val="00B9172F"/>
    <w:rsid w:val="00B9217E"/>
    <w:rsid w:val="00B949B0"/>
    <w:rsid w:val="00B95BD9"/>
    <w:rsid w:val="00B9692B"/>
    <w:rsid w:val="00BA4606"/>
    <w:rsid w:val="00BA47DB"/>
    <w:rsid w:val="00BB1A7A"/>
    <w:rsid w:val="00BB6C06"/>
    <w:rsid w:val="00BC0B56"/>
    <w:rsid w:val="00BC1523"/>
    <w:rsid w:val="00BC68FF"/>
    <w:rsid w:val="00BD0FF3"/>
    <w:rsid w:val="00BD18EC"/>
    <w:rsid w:val="00BD33AA"/>
    <w:rsid w:val="00BD35A5"/>
    <w:rsid w:val="00BE2C1D"/>
    <w:rsid w:val="00BE3426"/>
    <w:rsid w:val="00BE64EC"/>
    <w:rsid w:val="00BF0658"/>
    <w:rsid w:val="00BF2A7D"/>
    <w:rsid w:val="00BF2BBD"/>
    <w:rsid w:val="00BF602B"/>
    <w:rsid w:val="00C12C39"/>
    <w:rsid w:val="00C21894"/>
    <w:rsid w:val="00C23B6F"/>
    <w:rsid w:val="00C23BA7"/>
    <w:rsid w:val="00C25F88"/>
    <w:rsid w:val="00C27489"/>
    <w:rsid w:val="00C27D60"/>
    <w:rsid w:val="00C31C0D"/>
    <w:rsid w:val="00C34260"/>
    <w:rsid w:val="00C35DB2"/>
    <w:rsid w:val="00C46192"/>
    <w:rsid w:val="00C4634F"/>
    <w:rsid w:val="00C47A25"/>
    <w:rsid w:val="00C47F0F"/>
    <w:rsid w:val="00C47F28"/>
    <w:rsid w:val="00C508A1"/>
    <w:rsid w:val="00C51A22"/>
    <w:rsid w:val="00C52E67"/>
    <w:rsid w:val="00C53379"/>
    <w:rsid w:val="00C54543"/>
    <w:rsid w:val="00C57FB5"/>
    <w:rsid w:val="00C6082A"/>
    <w:rsid w:val="00C64752"/>
    <w:rsid w:val="00C65266"/>
    <w:rsid w:val="00C723D2"/>
    <w:rsid w:val="00C724AD"/>
    <w:rsid w:val="00C734A1"/>
    <w:rsid w:val="00C734DC"/>
    <w:rsid w:val="00C737C9"/>
    <w:rsid w:val="00C83030"/>
    <w:rsid w:val="00C937AC"/>
    <w:rsid w:val="00C944CB"/>
    <w:rsid w:val="00CA21AF"/>
    <w:rsid w:val="00CA31DB"/>
    <w:rsid w:val="00CA4F1C"/>
    <w:rsid w:val="00CA730A"/>
    <w:rsid w:val="00CB540C"/>
    <w:rsid w:val="00CB56DD"/>
    <w:rsid w:val="00CB635D"/>
    <w:rsid w:val="00CC01FB"/>
    <w:rsid w:val="00CC277A"/>
    <w:rsid w:val="00CC2BC0"/>
    <w:rsid w:val="00CC32EA"/>
    <w:rsid w:val="00CC3647"/>
    <w:rsid w:val="00CC44BA"/>
    <w:rsid w:val="00CC6635"/>
    <w:rsid w:val="00CD370C"/>
    <w:rsid w:val="00CD6467"/>
    <w:rsid w:val="00CE247C"/>
    <w:rsid w:val="00CE32D9"/>
    <w:rsid w:val="00CE3403"/>
    <w:rsid w:val="00CE6AD7"/>
    <w:rsid w:val="00CF0CF1"/>
    <w:rsid w:val="00CF1F26"/>
    <w:rsid w:val="00CF2D3F"/>
    <w:rsid w:val="00CF7208"/>
    <w:rsid w:val="00D00708"/>
    <w:rsid w:val="00D01B39"/>
    <w:rsid w:val="00D03E64"/>
    <w:rsid w:val="00D04CF3"/>
    <w:rsid w:val="00D050DB"/>
    <w:rsid w:val="00D16444"/>
    <w:rsid w:val="00D21237"/>
    <w:rsid w:val="00D2563D"/>
    <w:rsid w:val="00D259FB"/>
    <w:rsid w:val="00D27C25"/>
    <w:rsid w:val="00D33963"/>
    <w:rsid w:val="00D362ED"/>
    <w:rsid w:val="00D3635A"/>
    <w:rsid w:val="00D40AF9"/>
    <w:rsid w:val="00D418CD"/>
    <w:rsid w:val="00D47C48"/>
    <w:rsid w:val="00D503FF"/>
    <w:rsid w:val="00D52CA0"/>
    <w:rsid w:val="00D55421"/>
    <w:rsid w:val="00D56D78"/>
    <w:rsid w:val="00D56DAF"/>
    <w:rsid w:val="00D60844"/>
    <w:rsid w:val="00D61DD2"/>
    <w:rsid w:val="00D61DE8"/>
    <w:rsid w:val="00D62502"/>
    <w:rsid w:val="00D62EF2"/>
    <w:rsid w:val="00D63E1D"/>
    <w:rsid w:val="00D63E36"/>
    <w:rsid w:val="00D65181"/>
    <w:rsid w:val="00D655F1"/>
    <w:rsid w:val="00D71C40"/>
    <w:rsid w:val="00D71D8B"/>
    <w:rsid w:val="00D816E4"/>
    <w:rsid w:val="00D84F34"/>
    <w:rsid w:val="00D86CAC"/>
    <w:rsid w:val="00D87963"/>
    <w:rsid w:val="00D93386"/>
    <w:rsid w:val="00D9630A"/>
    <w:rsid w:val="00DA0F96"/>
    <w:rsid w:val="00DA1CBE"/>
    <w:rsid w:val="00DA2797"/>
    <w:rsid w:val="00DA345B"/>
    <w:rsid w:val="00DA3F48"/>
    <w:rsid w:val="00DA5538"/>
    <w:rsid w:val="00DA7B76"/>
    <w:rsid w:val="00DB4216"/>
    <w:rsid w:val="00DB4D16"/>
    <w:rsid w:val="00DB540F"/>
    <w:rsid w:val="00DB5699"/>
    <w:rsid w:val="00DB7FDB"/>
    <w:rsid w:val="00DC07DD"/>
    <w:rsid w:val="00DC0DC3"/>
    <w:rsid w:val="00DC2375"/>
    <w:rsid w:val="00DC4B5A"/>
    <w:rsid w:val="00DC509C"/>
    <w:rsid w:val="00DC532E"/>
    <w:rsid w:val="00DC5491"/>
    <w:rsid w:val="00DC6F64"/>
    <w:rsid w:val="00DC7595"/>
    <w:rsid w:val="00DD151C"/>
    <w:rsid w:val="00DD30BF"/>
    <w:rsid w:val="00DD39CC"/>
    <w:rsid w:val="00DD534A"/>
    <w:rsid w:val="00DE2E7D"/>
    <w:rsid w:val="00DE3400"/>
    <w:rsid w:val="00DE38AA"/>
    <w:rsid w:val="00DE5144"/>
    <w:rsid w:val="00DE6A3B"/>
    <w:rsid w:val="00DF4770"/>
    <w:rsid w:val="00DF5E1C"/>
    <w:rsid w:val="00DF6BB5"/>
    <w:rsid w:val="00DF7B5B"/>
    <w:rsid w:val="00E04353"/>
    <w:rsid w:val="00E16965"/>
    <w:rsid w:val="00E22539"/>
    <w:rsid w:val="00E2489B"/>
    <w:rsid w:val="00E33589"/>
    <w:rsid w:val="00E342C3"/>
    <w:rsid w:val="00E34A9B"/>
    <w:rsid w:val="00E40474"/>
    <w:rsid w:val="00E43FF9"/>
    <w:rsid w:val="00E473BF"/>
    <w:rsid w:val="00E501F2"/>
    <w:rsid w:val="00E50914"/>
    <w:rsid w:val="00E51537"/>
    <w:rsid w:val="00E51A1F"/>
    <w:rsid w:val="00E51E5A"/>
    <w:rsid w:val="00E54BED"/>
    <w:rsid w:val="00E567EE"/>
    <w:rsid w:val="00E624A0"/>
    <w:rsid w:val="00E645E1"/>
    <w:rsid w:val="00E747B8"/>
    <w:rsid w:val="00E754AA"/>
    <w:rsid w:val="00E83358"/>
    <w:rsid w:val="00E856D8"/>
    <w:rsid w:val="00E8650A"/>
    <w:rsid w:val="00E8789D"/>
    <w:rsid w:val="00E87C74"/>
    <w:rsid w:val="00E90AB9"/>
    <w:rsid w:val="00E92328"/>
    <w:rsid w:val="00E939F5"/>
    <w:rsid w:val="00E959B9"/>
    <w:rsid w:val="00EA0C51"/>
    <w:rsid w:val="00EA470A"/>
    <w:rsid w:val="00EA5571"/>
    <w:rsid w:val="00EA55FA"/>
    <w:rsid w:val="00EA73E2"/>
    <w:rsid w:val="00EA77A7"/>
    <w:rsid w:val="00EB023D"/>
    <w:rsid w:val="00EB0A29"/>
    <w:rsid w:val="00EB1EF2"/>
    <w:rsid w:val="00EB5BCA"/>
    <w:rsid w:val="00EC26D4"/>
    <w:rsid w:val="00EC3F6F"/>
    <w:rsid w:val="00EC581A"/>
    <w:rsid w:val="00ED0A46"/>
    <w:rsid w:val="00EE1B17"/>
    <w:rsid w:val="00EE2D00"/>
    <w:rsid w:val="00EF04D8"/>
    <w:rsid w:val="00EF1447"/>
    <w:rsid w:val="00EF3E91"/>
    <w:rsid w:val="00EF4CB9"/>
    <w:rsid w:val="00EF5752"/>
    <w:rsid w:val="00F007ED"/>
    <w:rsid w:val="00F04323"/>
    <w:rsid w:val="00F05648"/>
    <w:rsid w:val="00F056B8"/>
    <w:rsid w:val="00F11FE8"/>
    <w:rsid w:val="00F150B2"/>
    <w:rsid w:val="00F15933"/>
    <w:rsid w:val="00F16E85"/>
    <w:rsid w:val="00F2196E"/>
    <w:rsid w:val="00F22C49"/>
    <w:rsid w:val="00F24633"/>
    <w:rsid w:val="00F25132"/>
    <w:rsid w:val="00F25F9E"/>
    <w:rsid w:val="00F31FB7"/>
    <w:rsid w:val="00F32786"/>
    <w:rsid w:val="00F34554"/>
    <w:rsid w:val="00F34B42"/>
    <w:rsid w:val="00F36A5E"/>
    <w:rsid w:val="00F36C74"/>
    <w:rsid w:val="00F37735"/>
    <w:rsid w:val="00F40DA0"/>
    <w:rsid w:val="00F429B0"/>
    <w:rsid w:val="00F44F6B"/>
    <w:rsid w:val="00F465CE"/>
    <w:rsid w:val="00F469A4"/>
    <w:rsid w:val="00F51ABE"/>
    <w:rsid w:val="00F520B1"/>
    <w:rsid w:val="00F5245C"/>
    <w:rsid w:val="00F55625"/>
    <w:rsid w:val="00F57B19"/>
    <w:rsid w:val="00F60191"/>
    <w:rsid w:val="00F6113D"/>
    <w:rsid w:val="00F613D8"/>
    <w:rsid w:val="00F61E29"/>
    <w:rsid w:val="00F71DBA"/>
    <w:rsid w:val="00F71F55"/>
    <w:rsid w:val="00F734F8"/>
    <w:rsid w:val="00F73B38"/>
    <w:rsid w:val="00F74832"/>
    <w:rsid w:val="00F74899"/>
    <w:rsid w:val="00F75B96"/>
    <w:rsid w:val="00F75EAF"/>
    <w:rsid w:val="00F7621F"/>
    <w:rsid w:val="00F76DB9"/>
    <w:rsid w:val="00F8412C"/>
    <w:rsid w:val="00F84F32"/>
    <w:rsid w:val="00F85E96"/>
    <w:rsid w:val="00F87473"/>
    <w:rsid w:val="00F904EB"/>
    <w:rsid w:val="00F96696"/>
    <w:rsid w:val="00FA1A73"/>
    <w:rsid w:val="00FA2C9A"/>
    <w:rsid w:val="00FA3968"/>
    <w:rsid w:val="00FB2457"/>
    <w:rsid w:val="00FB2706"/>
    <w:rsid w:val="00FB49B7"/>
    <w:rsid w:val="00FB5B83"/>
    <w:rsid w:val="00FB60FA"/>
    <w:rsid w:val="00FB7F9C"/>
    <w:rsid w:val="00FC0923"/>
    <w:rsid w:val="00FC5590"/>
    <w:rsid w:val="00FC5636"/>
    <w:rsid w:val="00FC75BF"/>
    <w:rsid w:val="00FC7FFA"/>
    <w:rsid w:val="00FD2F24"/>
    <w:rsid w:val="00FD4F4D"/>
    <w:rsid w:val="00FD596D"/>
    <w:rsid w:val="00FE6AFB"/>
    <w:rsid w:val="00FF4155"/>
    <w:rsid w:val="00FF512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07902A"/>
  <w15:docId w15:val="{A8DDE5B1-12F0-4146-B2FB-5B8AC301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6716"/>
  </w:style>
  <w:style w:type="paragraph" w:styleId="Naslov1">
    <w:name w:val="heading 1"/>
    <w:basedOn w:val="Navaden"/>
    <w:next w:val="Navaden"/>
    <w:link w:val="Naslov1Znak"/>
    <w:uiPriority w:val="9"/>
    <w:qFormat/>
    <w:rsid w:val="001F50FE"/>
    <w:pPr>
      <w:keepNext/>
      <w:keepLines/>
      <w:spacing w:before="400" w:after="40" w:line="240" w:lineRule="auto"/>
      <w:outlineLvl w:val="0"/>
    </w:pPr>
    <w:rPr>
      <w:rFonts w:asciiTheme="majorHAnsi" w:eastAsiaTheme="majorEastAsia" w:hAnsiTheme="majorHAnsi" w:cstheme="majorBidi"/>
      <w:b/>
      <w:caps/>
      <w:sz w:val="36"/>
      <w:szCs w:val="36"/>
    </w:rPr>
  </w:style>
  <w:style w:type="paragraph" w:styleId="Naslov2">
    <w:name w:val="heading 2"/>
    <w:basedOn w:val="Navaden"/>
    <w:next w:val="Navaden"/>
    <w:link w:val="Naslov2Znak"/>
    <w:uiPriority w:val="9"/>
    <w:unhideWhenUsed/>
    <w:qFormat/>
    <w:rsid w:val="001F50FE"/>
    <w:pPr>
      <w:keepNext/>
      <w:keepLines/>
      <w:spacing w:before="120" w:after="0" w:line="240" w:lineRule="auto"/>
      <w:outlineLvl w:val="1"/>
    </w:pPr>
    <w:rPr>
      <w:rFonts w:asciiTheme="majorHAnsi" w:eastAsiaTheme="majorEastAsia" w:hAnsiTheme="majorHAnsi" w:cstheme="majorBidi"/>
      <w:b/>
      <w:caps/>
      <w:sz w:val="28"/>
      <w:szCs w:val="28"/>
    </w:rPr>
  </w:style>
  <w:style w:type="paragraph" w:styleId="Naslov3">
    <w:name w:val="heading 3"/>
    <w:basedOn w:val="Navaden"/>
    <w:next w:val="Navaden"/>
    <w:link w:val="Naslov3Znak"/>
    <w:uiPriority w:val="9"/>
    <w:unhideWhenUsed/>
    <w:qFormat/>
    <w:rsid w:val="00AC671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unhideWhenUsed/>
    <w:qFormat/>
    <w:rsid w:val="00AC6716"/>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semiHidden/>
    <w:unhideWhenUsed/>
    <w:qFormat/>
    <w:rsid w:val="00AC6716"/>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rsid w:val="00AC671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rsid w:val="00AC671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rsid w:val="00AC671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rsid w:val="00AC671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AA3429"/>
    <w:pPr>
      <w:ind w:left="720"/>
      <w:contextualSpacing/>
    </w:pPr>
  </w:style>
  <w:style w:type="character" w:styleId="Pripombasklic">
    <w:name w:val="annotation reference"/>
    <w:basedOn w:val="Privzetapisavaodstavka"/>
    <w:uiPriority w:val="99"/>
    <w:semiHidden/>
    <w:unhideWhenUsed/>
    <w:rsid w:val="00764205"/>
    <w:rPr>
      <w:sz w:val="16"/>
      <w:szCs w:val="16"/>
    </w:rPr>
  </w:style>
  <w:style w:type="paragraph" w:styleId="Pripombabesedilo">
    <w:name w:val="annotation text"/>
    <w:basedOn w:val="Navaden"/>
    <w:link w:val="PripombabesediloZnak"/>
    <w:uiPriority w:val="99"/>
    <w:semiHidden/>
    <w:unhideWhenUsed/>
    <w:rsid w:val="0076420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64205"/>
    <w:rPr>
      <w:sz w:val="20"/>
      <w:szCs w:val="20"/>
    </w:rPr>
  </w:style>
  <w:style w:type="paragraph" w:styleId="Zadevapripombe">
    <w:name w:val="annotation subject"/>
    <w:basedOn w:val="Pripombabesedilo"/>
    <w:next w:val="Pripombabesedilo"/>
    <w:link w:val="ZadevapripombeZnak"/>
    <w:uiPriority w:val="99"/>
    <w:semiHidden/>
    <w:unhideWhenUsed/>
    <w:rsid w:val="00764205"/>
    <w:rPr>
      <w:b/>
      <w:bCs/>
    </w:rPr>
  </w:style>
  <w:style w:type="character" w:customStyle="1" w:styleId="ZadevapripombeZnak">
    <w:name w:val="Zadeva pripombe Znak"/>
    <w:basedOn w:val="PripombabesediloZnak"/>
    <w:link w:val="Zadevapripombe"/>
    <w:uiPriority w:val="99"/>
    <w:semiHidden/>
    <w:rsid w:val="00764205"/>
    <w:rPr>
      <w:b/>
      <w:bCs/>
      <w:sz w:val="20"/>
      <w:szCs w:val="20"/>
    </w:rPr>
  </w:style>
  <w:style w:type="paragraph" w:styleId="Besedilooblaka">
    <w:name w:val="Balloon Text"/>
    <w:basedOn w:val="Navaden"/>
    <w:link w:val="BesedilooblakaZnak"/>
    <w:uiPriority w:val="99"/>
    <w:semiHidden/>
    <w:unhideWhenUsed/>
    <w:rsid w:val="0076420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64205"/>
    <w:rPr>
      <w:rFonts w:ascii="Segoe UI" w:hAnsi="Segoe UI" w:cs="Segoe UI"/>
      <w:sz w:val="18"/>
      <w:szCs w:val="18"/>
    </w:rPr>
  </w:style>
  <w:style w:type="paragraph" w:styleId="Glava">
    <w:name w:val="header"/>
    <w:basedOn w:val="Navaden"/>
    <w:link w:val="GlavaZnak"/>
    <w:uiPriority w:val="99"/>
    <w:unhideWhenUsed/>
    <w:rsid w:val="00AC6716"/>
    <w:pPr>
      <w:tabs>
        <w:tab w:val="center" w:pos="4536"/>
        <w:tab w:val="right" w:pos="9072"/>
      </w:tabs>
      <w:spacing w:after="0" w:line="240" w:lineRule="auto"/>
    </w:pPr>
  </w:style>
  <w:style w:type="character" w:customStyle="1" w:styleId="GlavaZnak">
    <w:name w:val="Glava Znak"/>
    <w:basedOn w:val="Privzetapisavaodstavka"/>
    <w:link w:val="Glava"/>
    <w:uiPriority w:val="99"/>
    <w:rsid w:val="00AC6716"/>
  </w:style>
  <w:style w:type="paragraph" w:styleId="Noga">
    <w:name w:val="footer"/>
    <w:basedOn w:val="Navaden"/>
    <w:link w:val="NogaZnak"/>
    <w:uiPriority w:val="99"/>
    <w:unhideWhenUsed/>
    <w:rsid w:val="00AC6716"/>
    <w:pPr>
      <w:tabs>
        <w:tab w:val="center" w:pos="4536"/>
        <w:tab w:val="right" w:pos="9072"/>
      </w:tabs>
      <w:spacing w:after="0" w:line="240" w:lineRule="auto"/>
    </w:pPr>
  </w:style>
  <w:style w:type="character" w:customStyle="1" w:styleId="NogaZnak">
    <w:name w:val="Noga Znak"/>
    <w:basedOn w:val="Privzetapisavaodstavka"/>
    <w:link w:val="Noga"/>
    <w:uiPriority w:val="99"/>
    <w:rsid w:val="00AC6716"/>
  </w:style>
  <w:style w:type="character" w:customStyle="1" w:styleId="Naslov1Znak">
    <w:name w:val="Naslov 1 Znak"/>
    <w:basedOn w:val="Privzetapisavaodstavka"/>
    <w:link w:val="Naslov1"/>
    <w:uiPriority w:val="9"/>
    <w:rsid w:val="001F50FE"/>
    <w:rPr>
      <w:rFonts w:asciiTheme="majorHAnsi" w:eastAsiaTheme="majorEastAsia" w:hAnsiTheme="majorHAnsi" w:cstheme="majorBidi"/>
      <w:b/>
      <w:caps/>
      <w:sz w:val="36"/>
      <w:szCs w:val="36"/>
    </w:rPr>
  </w:style>
  <w:style w:type="character" w:customStyle="1" w:styleId="Naslov2Znak">
    <w:name w:val="Naslov 2 Znak"/>
    <w:basedOn w:val="Privzetapisavaodstavka"/>
    <w:link w:val="Naslov2"/>
    <w:uiPriority w:val="9"/>
    <w:rsid w:val="001F50FE"/>
    <w:rPr>
      <w:rFonts w:asciiTheme="majorHAnsi" w:eastAsiaTheme="majorEastAsia" w:hAnsiTheme="majorHAnsi" w:cstheme="majorBidi"/>
      <w:b/>
      <w:caps/>
      <w:sz w:val="28"/>
      <w:szCs w:val="28"/>
    </w:rPr>
  </w:style>
  <w:style w:type="character" w:customStyle="1" w:styleId="Naslov3Znak">
    <w:name w:val="Naslov 3 Znak"/>
    <w:basedOn w:val="Privzetapisavaodstavka"/>
    <w:link w:val="Naslov3"/>
    <w:uiPriority w:val="9"/>
    <w:rsid w:val="00AC6716"/>
    <w:rPr>
      <w:rFonts w:asciiTheme="majorHAnsi" w:eastAsiaTheme="majorEastAsia" w:hAnsiTheme="majorHAnsi" w:cstheme="majorBidi"/>
      <w:smallCaps/>
      <w:sz w:val="28"/>
      <w:szCs w:val="28"/>
    </w:rPr>
  </w:style>
  <w:style w:type="character" w:customStyle="1" w:styleId="Naslov4Znak">
    <w:name w:val="Naslov 4 Znak"/>
    <w:basedOn w:val="Privzetapisavaodstavka"/>
    <w:link w:val="Naslov4"/>
    <w:uiPriority w:val="9"/>
    <w:rsid w:val="00AC6716"/>
    <w:rPr>
      <w:rFonts w:asciiTheme="majorHAnsi" w:eastAsiaTheme="majorEastAsia" w:hAnsiTheme="majorHAnsi" w:cstheme="majorBidi"/>
      <w:caps/>
    </w:rPr>
  </w:style>
  <w:style w:type="character" w:customStyle="1" w:styleId="Naslov5Znak">
    <w:name w:val="Naslov 5 Znak"/>
    <w:basedOn w:val="Privzetapisavaodstavka"/>
    <w:link w:val="Naslov5"/>
    <w:uiPriority w:val="9"/>
    <w:semiHidden/>
    <w:rsid w:val="00AC6716"/>
    <w:rPr>
      <w:rFonts w:asciiTheme="majorHAnsi" w:eastAsiaTheme="majorEastAsia" w:hAnsiTheme="majorHAnsi" w:cstheme="majorBidi"/>
      <w:i/>
      <w:iCs/>
      <w:caps/>
    </w:rPr>
  </w:style>
  <w:style w:type="character" w:customStyle="1" w:styleId="Naslov6Znak">
    <w:name w:val="Naslov 6 Znak"/>
    <w:basedOn w:val="Privzetapisavaodstavka"/>
    <w:link w:val="Naslov6"/>
    <w:uiPriority w:val="9"/>
    <w:semiHidden/>
    <w:rsid w:val="00AC6716"/>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AC6716"/>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AC6716"/>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AC6716"/>
    <w:rPr>
      <w:rFonts w:asciiTheme="majorHAnsi" w:eastAsiaTheme="majorEastAsia" w:hAnsiTheme="majorHAnsi" w:cstheme="majorBidi"/>
      <w:b/>
      <w:bCs/>
      <w:i/>
      <w:iCs/>
      <w:caps/>
      <w:color w:val="7F7F7F" w:themeColor="text1" w:themeTint="80"/>
      <w:sz w:val="20"/>
      <w:szCs w:val="20"/>
    </w:rPr>
  </w:style>
  <w:style w:type="paragraph" w:styleId="Napis">
    <w:name w:val="caption"/>
    <w:basedOn w:val="Navaden"/>
    <w:next w:val="Navaden"/>
    <w:uiPriority w:val="35"/>
    <w:unhideWhenUsed/>
    <w:qFormat/>
    <w:rsid w:val="00AC6716"/>
    <w:pPr>
      <w:spacing w:line="240" w:lineRule="auto"/>
    </w:pPr>
    <w:rPr>
      <w:b/>
      <w:bCs/>
      <w:smallCaps/>
      <w:color w:val="595959" w:themeColor="text1" w:themeTint="A6"/>
    </w:rPr>
  </w:style>
  <w:style w:type="paragraph" w:styleId="Naslov">
    <w:name w:val="Title"/>
    <w:basedOn w:val="Navaden"/>
    <w:next w:val="Navaden"/>
    <w:link w:val="NaslovZnak"/>
    <w:uiPriority w:val="10"/>
    <w:qFormat/>
    <w:rsid w:val="00AC671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AC6716"/>
    <w:rPr>
      <w:rFonts w:asciiTheme="majorHAnsi" w:eastAsiaTheme="majorEastAsia" w:hAnsiTheme="majorHAnsi" w:cstheme="majorBidi"/>
      <w:caps/>
      <w:color w:val="404040" w:themeColor="text1" w:themeTint="BF"/>
      <w:spacing w:val="-10"/>
      <w:sz w:val="72"/>
      <w:szCs w:val="72"/>
    </w:rPr>
  </w:style>
  <w:style w:type="paragraph" w:styleId="Podnaslov">
    <w:name w:val="Subtitle"/>
    <w:basedOn w:val="Navaden"/>
    <w:next w:val="Navaden"/>
    <w:link w:val="PodnaslovZnak"/>
    <w:uiPriority w:val="11"/>
    <w:qFormat/>
    <w:rsid w:val="00AC671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AC6716"/>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rsid w:val="00AC6716"/>
    <w:rPr>
      <w:b/>
      <w:bCs/>
    </w:rPr>
  </w:style>
  <w:style w:type="character" w:styleId="Poudarek">
    <w:name w:val="Emphasis"/>
    <w:basedOn w:val="Privzetapisavaodstavka"/>
    <w:uiPriority w:val="20"/>
    <w:qFormat/>
    <w:rsid w:val="00AC6716"/>
    <w:rPr>
      <w:i/>
      <w:iCs/>
    </w:rPr>
  </w:style>
  <w:style w:type="paragraph" w:styleId="Brezrazmikov">
    <w:name w:val="No Spacing"/>
    <w:uiPriority w:val="1"/>
    <w:qFormat/>
    <w:rsid w:val="00AC6716"/>
    <w:pPr>
      <w:spacing w:after="0" w:line="240" w:lineRule="auto"/>
    </w:pPr>
  </w:style>
  <w:style w:type="paragraph" w:styleId="Citat">
    <w:name w:val="Quote"/>
    <w:basedOn w:val="Navaden"/>
    <w:next w:val="Navaden"/>
    <w:link w:val="CitatZnak"/>
    <w:uiPriority w:val="29"/>
    <w:qFormat/>
    <w:rsid w:val="00AC6716"/>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AC6716"/>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AC6716"/>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AC6716"/>
    <w:rPr>
      <w:color w:val="404040" w:themeColor="text1" w:themeTint="BF"/>
      <w:sz w:val="32"/>
      <w:szCs w:val="32"/>
    </w:rPr>
  </w:style>
  <w:style w:type="character" w:styleId="Neenpoudarek">
    <w:name w:val="Subtle Emphasis"/>
    <w:aliases w:val="Obrazložitev"/>
    <w:basedOn w:val="Privzetapisavaodstavka"/>
    <w:uiPriority w:val="19"/>
    <w:qFormat/>
    <w:rsid w:val="00AC6716"/>
    <w:rPr>
      <w:i/>
      <w:iCs/>
      <w:color w:val="595959" w:themeColor="text1" w:themeTint="A6"/>
    </w:rPr>
  </w:style>
  <w:style w:type="character" w:styleId="Intenzivenpoudarek">
    <w:name w:val="Intense Emphasis"/>
    <w:basedOn w:val="Privzetapisavaodstavka"/>
    <w:uiPriority w:val="21"/>
    <w:qFormat/>
    <w:rsid w:val="00AC6716"/>
    <w:rPr>
      <w:b/>
      <w:bCs/>
      <w:i/>
      <w:iCs/>
    </w:rPr>
  </w:style>
  <w:style w:type="character" w:styleId="Neensklic">
    <w:name w:val="Subtle Reference"/>
    <w:basedOn w:val="Privzetapisavaodstavka"/>
    <w:uiPriority w:val="31"/>
    <w:qFormat/>
    <w:rsid w:val="00AC6716"/>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AC6716"/>
    <w:rPr>
      <w:b/>
      <w:bCs/>
      <w:caps w:val="0"/>
      <w:smallCaps/>
      <w:color w:val="auto"/>
      <w:spacing w:val="3"/>
      <w:u w:val="single"/>
    </w:rPr>
  </w:style>
  <w:style w:type="character" w:styleId="Naslovknjige">
    <w:name w:val="Book Title"/>
    <w:basedOn w:val="Privzetapisavaodstavka"/>
    <w:uiPriority w:val="33"/>
    <w:qFormat/>
    <w:rsid w:val="00AC6716"/>
    <w:rPr>
      <w:b/>
      <w:bCs/>
      <w:smallCaps/>
      <w:spacing w:val="7"/>
    </w:rPr>
  </w:style>
  <w:style w:type="paragraph" w:styleId="NaslovTOC">
    <w:name w:val="TOC Heading"/>
    <w:basedOn w:val="Naslov1"/>
    <w:next w:val="Navaden"/>
    <w:uiPriority w:val="39"/>
    <w:unhideWhenUsed/>
    <w:qFormat/>
    <w:rsid w:val="00AC6716"/>
    <w:pPr>
      <w:outlineLvl w:val="9"/>
    </w:pPr>
  </w:style>
  <w:style w:type="paragraph" w:styleId="Kazalovsebine2">
    <w:name w:val="toc 2"/>
    <w:basedOn w:val="Navaden"/>
    <w:next w:val="Navaden"/>
    <w:autoRedefine/>
    <w:uiPriority w:val="39"/>
    <w:unhideWhenUsed/>
    <w:rsid w:val="00607CA8"/>
    <w:pPr>
      <w:spacing w:after="100"/>
      <w:ind w:left="220"/>
    </w:pPr>
    <w:rPr>
      <w:rFonts w:cs="Times New Roman"/>
      <w:lang w:eastAsia="sl-SI"/>
    </w:rPr>
  </w:style>
  <w:style w:type="paragraph" w:styleId="Kazalovsebine1">
    <w:name w:val="toc 1"/>
    <w:basedOn w:val="Navaden"/>
    <w:next w:val="Navaden"/>
    <w:autoRedefine/>
    <w:uiPriority w:val="39"/>
    <w:unhideWhenUsed/>
    <w:rsid w:val="00607CA8"/>
    <w:pPr>
      <w:spacing w:after="100"/>
    </w:pPr>
    <w:rPr>
      <w:rFonts w:cs="Times New Roman"/>
      <w:lang w:eastAsia="sl-SI"/>
    </w:rPr>
  </w:style>
  <w:style w:type="paragraph" w:styleId="Kazalovsebine3">
    <w:name w:val="toc 3"/>
    <w:basedOn w:val="Navaden"/>
    <w:next w:val="Navaden"/>
    <w:autoRedefine/>
    <w:uiPriority w:val="39"/>
    <w:unhideWhenUsed/>
    <w:rsid w:val="00607CA8"/>
    <w:pPr>
      <w:spacing w:after="100"/>
      <w:ind w:left="440"/>
    </w:pPr>
    <w:rPr>
      <w:rFonts w:cs="Times New Roman"/>
      <w:lang w:eastAsia="sl-SI"/>
    </w:rPr>
  </w:style>
  <w:style w:type="character" w:styleId="Hiperpovezava">
    <w:name w:val="Hyperlink"/>
    <w:basedOn w:val="Privzetapisavaodstavka"/>
    <w:uiPriority w:val="99"/>
    <w:unhideWhenUsed/>
    <w:rsid w:val="00607CA8"/>
    <w:rPr>
      <w:color w:val="0563C1" w:themeColor="hyperlink"/>
      <w:u w:val="single"/>
    </w:rPr>
  </w:style>
  <w:style w:type="character" w:customStyle="1" w:styleId="OdstavekseznamaZnak">
    <w:name w:val="Odstavek seznama Znak"/>
    <w:link w:val="Odstavekseznama"/>
    <w:uiPriority w:val="34"/>
    <w:locked/>
    <w:rsid w:val="00874FD9"/>
  </w:style>
  <w:style w:type="paragraph" w:styleId="Sprotnaopomba-besedilo">
    <w:name w:val="footnote text"/>
    <w:aliases w:val=" Char Char,Char Char,Sprotna opomba - besedilo Znak1,Sprotna opomba - besedilo Znak Znak2,Sprotna opomba - besedilo Znak1 Znak Znak1,Sprotna opomba - besedilo Znak1 Znak Znak Znak,Sprotna opomba-besedilo,Char Char Char Char"/>
    <w:basedOn w:val="Navaden"/>
    <w:link w:val="Sprotnaopomba-besediloZnak"/>
    <w:uiPriority w:val="99"/>
    <w:unhideWhenUsed/>
    <w:qFormat/>
    <w:rsid w:val="005C5EAC"/>
    <w:pPr>
      <w:spacing w:after="0" w:line="240" w:lineRule="auto"/>
    </w:pPr>
    <w:rPr>
      <w:sz w:val="20"/>
      <w:szCs w:val="20"/>
    </w:rPr>
  </w:style>
  <w:style w:type="character" w:customStyle="1" w:styleId="Sprotnaopomba-besediloZnak">
    <w:name w:val="Sprotna opomba - besedilo Znak"/>
    <w:aliases w:val=" Char Char Znak,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5C5EAC"/>
    <w:rPr>
      <w:sz w:val="20"/>
      <w:szCs w:val="20"/>
    </w:rPr>
  </w:style>
  <w:style w:type="character" w:styleId="Sprotnaopomba-sklic">
    <w:name w:val="footnote reference"/>
    <w:aliases w:val="Footnote symbol,Footnote,Fussnota,Footnote reference number,note TESI,SUPERS,EN Footnote Reference,-E Fußnotenzeichen,number,Times 10 Point,Exposant 3 Point,Footnote Reference_LVL6,Footnote Reference_LVL61,Footnote Reference_LVL62"/>
    <w:basedOn w:val="Privzetapisavaodstavka"/>
    <w:uiPriority w:val="99"/>
    <w:unhideWhenUsed/>
    <w:qFormat/>
    <w:rsid w:val="005C5EAC"/>
    <w:rPr>
      <w:vertAlign w:val="superscript"/>
    </w:rPr>
  </w:style>
  <w:style w:type="table" w:styleId="Tabelamrea">
    <w:name w:val="Table Grid"/>
    <w:basedOn w:val="Navadnatabela"/>
    <w:uiPriority w:val="39"/>
    <w:rsid w:val="00AC7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nostnaos">
    <w:name w:val="Prednostna os"/>
    <w:basedOn w:val="Naslov1"/>
    <w:qFormat/>
    <w:rsid w:val="00A932A4"/>
    <w:pPr>
      <w:keepLines w:val="0"/>
      <w:spacing w:before="240" w:after="60" w:line="260" w:lineRule="atLeast"/>
      <w:jc w:val="both"/>
    </w:pPr>
    <w:rPr>
      <w:rFonts w:ascii="Arial" w:eastAsia="Times New Roman" w:hAnsi="Arial" w:cs="Times New Roman"/>
      <w:caps w:val="0"/>
      <w:kern w:val="32"/>
      <w:sz w:val="20"/>
      <w:szCs w:val="20"/>
      <w:lang w:eastAsia="sl-SI"/>
    </w:rPr>
  </w:style>
  <w:style w:type="paragraph" w:styleId="Revizija">
    <w:name w:val="Revision"/>
    <w:hidden/>
    <w:uiPriority w:val="99"/>
    <w:semiHidden/>
    <w:rsid w:val="00F60191"/>
    <w:pPr>
      <w:spacing w:after="0" w:line="240" w:lineRule="auto"/>
    </w:pPr>
  </w:style>
  <w:style w:type="paragraph" w:customStyle="1" w:styleId="Default">
    <w:name w:val="Default"/>
    <w:rsid w:val="002C173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1">
    <w:name w:val="Text 1"/>
    <w:basedOn w:val="Navaden"/>
    <w:link w:val="Text1Char"/>
    <w:rsid w:val="00CA4F1C"/>
    <w:pPr>
      <w:spacing w:before="120" w:after="120" w:line="240" w:lineRule="auto"/>
      <w:ind w:left="850"/>
      <w:jc w:val="both"/>
    </w:pPr>
    <w:rPr>
      <w:rFonts w:ascii="Times New Roman" w:eastAsia="Times New Roman" w:hAnsi="Times New Roman" w:cs="Times New Roman"/>
      <w:sz w:val="24"/>
      <w:szCs w:val="24"/>
      <w:lang w:val="en-GB"/>
    </w:rPr>
  </w:style>
  <w:style w:type="paragraph" w:customStyle="1" w:styleId="Text2">
    <w:name w:val="Text 2"/>
    <w:basedOn w:val="Navaden"/>
    <w:rsid w:val="00CA4F1C"/>
    <w:pPr>
      <w:spacing w:before="120" w:after="120" w:line="240" w:lineRule="auto"/>
      <w:ind w:left="1417"/>
      <w:jc w:val="both"/>
    </w:pPr>
    <w:rPr>
      <w:rFonts w:ascii="Times New Roman" w:eastAsia="Times New Roman" w:hAnsi="Times New Roman" w:cs="Times New Roman"/>
      <w:sz w:val="24"/>
      <w:szCs w:val="24"/>
      <w:lang w:val="en-GB"/>
    </w:rPr>
  </w:style>
  <w:style w:type="character" w:customStyle="1" w:styleId="Text1Char">
    <w:name w:val="Text 1 Char"/>
    <w:link w:val="Text1"/>
    <w:locked/>
    <w:rsid w:val="00CA4F1C"/>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1333">
      <w:bodyDiv w:val="1"/>
      <w:marLeft w:val="0"/>
      <w:marRight w:val="0"/>
      <w:marTop w:val="0"/>
      <w:marBottom w:val="0"/>
      <w:divBdr>
        <w:top w:val="none" w:sz="0" w:space="0" w:color="auto"/>
        <w:left w:val="none" w:sz="0" w:space="0" w:color="auto"/>
        <w:bottom w:val="none" w:sz="0" w:space="0" w:color="auto"/>
        <w:right w:val="none" w:sz="0" w:space="0" w:color="auto"/>
      </w:divBdr>
    </w:div>
    <w:div w:id="48193252">
      <w:bodyDiv w:val="1"/>
      <w:marLeft w:val="0"/>
      <w:marRight w:val="0"/>
      <w:marTop w:val="0"/>
      <w:marBottom w:val="0"/>
      <w:divBdr>
        <w:top w:val="none" w:sz="0" w:space="0" w:color="auto"/>
        <w:left w:val="none" w:sz="0" w:space="0" w:color="auto"/>
        <w:bottom w:val="none" w:sz="0" w:space="0" w:color="auto"/>
        <w:right w:val="none" w:sz="0" w:space="0" w:color="auto"/>
      </w:divBdr>
    </w:div>
    <w:div w:id="53701377">
      <w:bodyDiv w:val="1"/>
      <w:marLeft w:val="0"/>
      <w:marRight w:val="0"/>
      <w:marTop w:val="0"/>
      <w:marBottom w:val="0"/>
      <w:divBdr>
        <w:top w:val="none" w:sz="0" w:space="0" w:color="auto"/>
        <w:left w:val="none" w:sz="0" w:space="0" w:color="auto"/>
        <w:bottom w:val="none" w:sz="0" w:space="0" w:color="auto"/>
        <w:right w:val="none" w:sz="0" w:space="0" w:color="auto"/>
      </w:divBdr>
    </w:div>
    <w:div w:id="70545688">
      <w:bodyDiv w:val="1"/>
      <w:marLeft w:val="0"/>
      <w:marRight w:val="0"/>
      <w:marTop w:val="0"/>
      <w:marBottom w:val="0"/>
      <w:divBdr>
        <w:top w:val="none" w:sz="0" w:space="0" w:color="auto"/>
        <w:left w:val="none" w:sz="0" w:space="0" w:color="auto"/>
        <w:bottom w:val="none" w:sz="0" w:space="0" w:color="auto"/>
        <w:right w:val="none" w:sz="0" w:space="0" w:color="auto"/>
      </w:divBdr>
    </w:div>
    <w:div w:id="78257919">
      <w:bodyDiv w:val="1"/>
      <w:marLeft w:val="0"/>
      <w:marRight w:val="0"/>
      <w:marTop w:val="0"/>
      <w:marBottom w:val="0"/>
      <w:divBdr>
        <w:top w:val="none" w:sz="0" w:space="0" w:color="auto"/>
        <w:left w:val="none" w:sz="0" w:space="0" w:color="auto"/>
        <w:bottom w:val="none" w:sz="0" w:space="0" w:color="auto"/>
        <w:right w:val="none" w:sz="0" w:space="0" w:color="auto"/>
      </w:divBdr>
    </w:div>
    <w:div w:id="97650652">
      <w:bodyDiv w:val="1"/>
      <w:marLeft w:val="0"/>
      <w:marRight w:val="0"/>
      <w:marTop w:val="0"/>
      <w:marBottom w:val="0"/>
      <w:divBdr>
        <w:top w:val="none" w:sz="0" w:space="0" w:color="auto"/>
        <w:left w:val="none" w:sz="0" w:space="0" w:color="auto"/>
        <w:bottom w:val="none" w:sz="0" w:space="0" w:color="auto"/>
        <w:right w:val="none" w:sz="0" w:space="0" w:color="auto"/>
      </w:divBdr>
    </w:div>
    <w:div w:id="129516463">
      <w:bodyDiv w:val="1"/>
      <w:marLeft w:val="0"/>
      <w:marRight w:val="0"/>
      <w:marTop w:val="0"/>
      <w:marBottom w:val="0"/>
      <w:divBdr>
        <w:top w:val="none" w:sz="0" w:space="0" w:color="auto"/>
        <w:left w:val="none" w:sz="0" w:space="0" w:color="auto"/>
        <w:bottom w:val="none" w:sz="0" w:space="0" w:color="auto"/>
        <w:right w:val="none" w:sz="0" w:space="0" w:color="auto"/>
      </w:divBdr>
    </w:div>
    <w:div w:id="182475339">
      <w:bodyDiv w:val="1"/>
      <w:marLeft w:val="0"/>
      <w:marRight w:val="0"/>
      <w:marTop w:val="0"/>
      <w:marBottom w:val="0"/>
      <w:divBdr>
        <w:top w:val="none" w:sz="0" w:space="0" w:color="auto"/>
        <w:left w:val="none" w:sz="0" w:space="0" w:color="auto"/>
        <w:bottom w:val="none" w:sz="0" w:space="0" w:color="auto"/>
        <w:right w:val="none" w:sz="0" w:space="0" w:color="auto"/>
      </w:divBdr>
    </w:div>
    <w:div w:id="196431905">
      <w:bodyDiv w:val="1"/>
      <w:marLeft w:val="0"/>
      <w:marRight w:val="0"/>
      <w:marTop w:val="0"/>
      <w:marBottom w:val="0"/>
      <w:divBdr>
        <w:top w:val="none" w:sz="0" w:space="0" w:color="auto"/>
        <w:left w:val="none" w:sz="0" w:space="0" w:color="auto"/>
        <w:bottom w:val="none" w:sz="0" w:space="0" w:color="auto"/>
        <w:right w:val="none" w:sz="0" w:space="0" w:color="auto"/>
      </w:divBdr>
    </w:div>
    <w:div w:id="208037488">
      <w:bodyDiv w:val="1"/>
      <w:marLeft w:val="0"/>
      <w:marRight w:val="0"/>
      <w:marTop w:val="0"/>
      <w:marBottom w:val="0"/>
      <w:divBdr>
        <w:top w:val="none" w:sz="0" w:space="0" w:color="auto"/>
        <w:left w:val="none" w:sz="0" w:space="0" w:color="auto"/>
        <w:bottom w:val="none" w:sz="0" w:space="0" w:color="auto"/>
        <w:right w:val="none" w:sz="0" w:space="0" w:color="auto"/>
      </w:divBdr>
    </w:div>
    <w:div w:id="218397544">
      <w:bodyDiv w:val="1"/>
      <w:marLeft w:val="0"/>
      <w:marRight w:val="0"/>
      <w:marTop w:val="0"/>
      <w:marBottom w:val="0"/>
      <w:divBdr>
        <w:top w:val="none" w:sz="0" w:space="0" w:color="auto"/>
        <w:left w:val="none" w:sz="0" w:space="0" w:color="auto"/>
        <w:bottom w:val="none" w:sz="0" w:space="0" w:color="auto"/>
        <w:right w:val="none" w:sz="0" w:space="0" w:color="auto"/>
      </w:divBdr>
    </w:div>
    <w:div w:id="320042316">
      <w:bodyDiv w:val="1"/>
      <w:marLeft w:val="0"/>
      <w:marRight w:val="0"/>
      <w:marTop w:val="0"/>
      <w:marBottom w:val="0"/>
      <w:divBdr>
        <w:top w:val="none" w:sz="0" w:space="0" w:color="auto"/>
        <w:left w:val="none" w:sz="0" w:space="0" w:color="auto"/>
        <w:bottom w:val="none" w:sz="0" w:space="0" w:color="auto"/>
        <w:right w:val="none" w:sz="0" w:space="0" w:color="auto"/>
      </w:divBdr>
    </w:div>
    <w:div w:id="378865450">
      <w:bodyDiv w:val="1"/>
      <w:marLeft w:val="0"/>
      <w:marRight w:val="0"/>
      <w:marTop w:val="0"/>
      <w:marBottom w:val="0"/>
      <w:divBdr>
        <w:top w:val="none" w:sz="0" w:space="0" w:color="auto"/>
        <w:left w:val="none" w:sz="0" w:space="0" w:color="auto"/>
        <w:bottom w:val="none" w:sz="0" w:space="0" w:color="auto"/>
        <w:right w:val="none" w:sz="0" w:space="0" w:color="auto"/>
      </w:divBdr>
    </w:div>
    <w:div w:id="403836444">
      <w:bodyDiv w:val="1"/>
      <w:marLeft w:val="0"/>
      <w:marRight w:val="0"/>
      <w:marTop w:val="0"/>
      <w:marBottom w:val="0"/>
      <w:divBdr>
        <w:top w:val="none" w:sz="0" w:space="0" w:color="auto"/>
        <w:left w:val="none" w:sz="0" w:space="0" w:color="auto"/>
        <w:bottom w:val="none" w:sz="0" w:space="0" w:color="auto"/>
        <w:right w:val="none" w:sz="0" w:space="0" w:color="auto"/>
      </w:divBdr>
    </w:div>
    <w:div w:id="407849171">
      <w:bodyDiv w:val="1"/>
      <w:marLeft w:val="0"/>
      <w:marRight w:val="0"/>
      <w:marTop w:val="0"/>
      <w:marBottom w:val="0"/>
      <w:divBdr>
        <w:top w:val="none" w:sz="0" w:space="0" w:color="auto"/>
        <w:left w:val="none" w:sz="0" w:space="0" w:color="auto"/>
        <w:bottom w:val="none" w:sz="0" w:space="0" w:color="auto"/>
        <w:right w:val="none" w:sz="0" w:space="0" w:color="auto"/>
      </w:divBdr>
    </w:div>
    <w:div w:id="423233200">
      <w:bodyDiv w:val="1"/>
      <w:marLeft w:val="0"/>
      <w:marRight w:val="0"/>
      <w:marTop w:val="0"/>
      <w:marBottom w:val="0"/>
      <w:divBdr>
        <w:top w:val="none" w:sz="0" w:space="0" w:color="auto"/>
        <w:left w:val="none" w:sz="0" w:space="0" w:color="auto"/>
        <w:bottom w:val="none" w:sz="0" w:space="0" w:color="auto"/>
        <w:right w:val="none" w:sz="0" w:space="0" w:color="auto"/>
      </w:divBdr>
    </w:div>
    <w:div w:id="433211935">
      <w:bodyDiv w:val="1"/>
      <w:marLeft w:val="0"/>
      <w:marRight w:val="0"/>
      <w:marTop w:val="0"/>
      <w:marBottom w:val="0"/>
      <w:divBdr>
        <w:top w:val="none" w:sz="0" w:space="0" w:color="auto"/>
        <w:left w:val="none" w:sz="0" w:space="0" w:color="auto"/>
        <w:bottom w:val="none" w:sz="0" w:space="0" w:color="auto"/>
        <w:right w:val="none" w:sz="0" w:space="0" w:color="auto"/>
      </w:divBdr>
    </w:div>
    <w:div w:id="463740719">
      <w:bodyDiv w:val="1"/>
      <w:marLeft w:val="0"/>
      <w:marRight w:val="0"/>
      <w:marTop w:val="0"/>
      <w:marBottom w:val="0"/>
      <w:divBdr>
        <w:top w:val="none" w:sz="0" w:space="0" w:color="auto"/>
        <w:left w:val="none" w:sz="0" w:space="0" w:color="auto"/>
        <w:bottom w:val="none" w:sz="0" w:space="0" w:color="auto"/>
        <w:right w:val="none" w:sz="0" w:space="0" w:color="auto"/>
      </w:divBdr>
    </w:div>
    <w:div w:id="509831135">
      <w:bodyDiv w:val="1"/>
      <w:marLeft w:val="0"/>
      <w:marRight w:val="0"/>
      <w:marTop w:val="0"/>
      <w:marBottom w:val="0"/>
      <w:divBdr>
        <w:top w:val="none" w:sz="0" w:space="0" w:color="auto"/>
        <w:left w:val="none" w:sz="0" w:space="0" w:color="auto"/>
        <w:bottom w:val="none" w:sz="0" w:space="0" w:color="auto"/>
        <w:right w:val="none" w:sz="0" w:space="0" w:color="auto"/>
      </w:divBdr>
    </w:div>
    <w:div w:id="512299755">
      <w:bodyDiv w:val="1"/>
      <w:marLeft w:val="0"/>
      <w:marRight w:val="0"/>
      <w:marTop w:val="0"/>
      <w:marBottom w:val="0"/>
      <w:divBdr>
        <w:top w:val="none" w:sz="0" w:space="0" w:color="auto"/>
        <w:left w:val="none" w:sz="0" w:space="0" w:color="auto"/>
        <w:bottom w:val="none" w:sz="0" w:space="0" w:color="auto"/>
        <w:right w:val="none" w:sz="0" w:space="0" w:color="auto"/>
      </w:divBdr>
    </w:div>
    <w:div w:id="554858116">
      <w:bodyDiv w:val="1"/>
      <w:marLeft w:val="0"/>
      <w:marRight w:val="0"/>
      <w:marTop w:val="0"/>
      <w:marBottom w:val="0"/>
      <w:divBdr>
        <w:top w:val="none" w:sz="0" w:space="0" w:color="auto"/>
        <w:left w:val="none" w:sz="0" w:space="0" w:color="auto"/>
        <w:bottom w:val="none" w:sz="0" w:space="0" w:color="auto"/>
        <w:right w:val="none" w:sz="0" w:space="0" w:color="auto"/>
      </w:divBdr>
    </w:div>
    <w:div w:id="633172374">
      <w:bodyDiv w:val="1"/>
      <w:marLeft w:val="0"/>
      <w:marRight w:val="0"/>
      <w:marTop w:val="0"/>
      <w:marBottom w:val="0"/>
      <w:divBdr>
        <w:top w:val="none" w:sz="0" w:space="0" w:color="auto"/>
        <w:left w:val="none" w:sz="0" w:space="0" w:color="auto"/>
        <w:bottom w:val="none" w:sz="0" w:space="0" w:color="auto"/>
        <w:right w:val="none" w:sz="0" w:space="0" w:color="auto"/>
      </w:divBdr>
    </w:div>
    <w:div w:id="811872257">
      <w:bodyDiv w:val="1"/>
      <w:marLeft w:val="0"/>
      <w:marRight w:val="0"/>
      <w:marTop w:val="0"/>
      <w:marBottom w:val="0"/>
      <w:divBdr>
        <w:top w:val="none" w:sz="0" w:space="0" w:color="auto"/>
        <w:left w:val="none" w:sz="0" w:space="0" w:color="auto"/>
        <w:bottom w:val="none" w:sz="0" w:space="0" w:color="auto"/>
        <w:right w:val="none" w:sz="0" w:space="0" w:color="auto"/>
      </w:divBdr>
    </w:div>
    <w:div w:id="812940790">
      <w:bodyDiv w:val="1"/>
      <w:marLeft w:val="0"/>
      <w:marRight w:val="0"/>
      <w:marTop w:val="0"/>
      <w:marBottom w:val="0"/>
      <w:divBdr>
        <w:top w:val="none" w:sz="0" w:space="0" w:color="auto"/>
        <w:left w:val="none" w:sz="0" w:space="0" w:color="auto"/>
        <w:bottom w:val="none" w:sz="0" w:space="0" w:color="auto"/>
        <w:right w:val="none" w:sz="0" w:space="0" w:color="auto"/>
      </w:divBdr>
    </w:div>
    <w:div w:id="860506526">
      <w:bodyDiv w:val="1"/>
      <w:marLeft w:val="0"/>
      <w:marRight w:val="0"/>
      <w:marTop w:val="0"/>
      <w:marBottom w:val="0"/>
      <w:divBdr>
        <w:top w:val="none" w:sz="0" w:space="0" w:color="auto"/>
        <w:left w:val="none" w:sz="0" w:space="0" w:color="auto"/>
        <w:bottom w:val="none" w:sz="0" w:space="0" w:color="auto"/>
        <w:right w:val="none" w:sz="0" w:space="0" w:color="auto"/>
      </w:divBdr>
    </w:div>
    <w:div w:id="902063911">
      <w:bodyDiv w:val="1"/>
      <w:marLeft w:val="0"/>
      <w:marRight w:val="0"/>
      <w:marTop w:val="0"/>
      <w:marBottom w:val="0"/>
      <w:divBdr>
        <w:top w:val="none" w:sz="0" w:space="0" w:color="auto"/>
        <w:left w:val="none" w:sz="0" w:space="0" w:color="auto"/>
        <w:bottom w:val="none" w:sz="0" w:space="0" w:color="auto"/>
        <w:right w:val="none" w:sz="0" w:space="0" w:color="auto"/>
      </w:divBdr>
    </w:div>
    <w:div w:id="946159656">
      <w:bodyDiv w:val="1"/>
      <w:marLeft w:val="0"/>
      <w:marRight w:val="0"/>
      <w:marTop w:val="0"/>
      <w:marBottom w:val="0"/>
      <w:divBdr>
        <w:top w:val="none" w:sz="0" w:space="0" w:color="auto"/>
        <w:left w:val="none" w:sz="0" w:space="0" w:color="auto"/>
        <w:bottom w:val="none" w:sz="0" w:space="0" w:color="auto"/>
        <w:right w:val="none" w:sz="0" w:space="0" w:color="auto"/>
      </w:divBdr>
    </w:div>
    <w:div w:id="1062293640">
      <w:bodyDiv w:val="1"/>
      <w:marLeft w:val="0"/>
      <w:marRight w:val="0"/>
      <w:marTop w:val="0"/>
      <w:marBottom w:val="0"/>
      <w:divBdr>
        <w:top w:val="none" w:sz="0" w:space="0" w:color="auto"/>
        <w:left w:val="none" w:sz="0" w:space="0" w:color="auto"/>
        <w:bottom w:val="none" w:sz="0" w:space="0" w:color="auto"/>
        <w:right w:val="none" w:sz="0" w:space="0" w:color="auto"/>
      </w:divBdr>
    </w:div>
    <w:div w:id="1129930749">
      <w:bodyDiv w:val="1"/>
      <w:marLeft w:val="0"/>
      <w:marRight w:val="0"/>
      <w:marTop w:val="0"/>
      <w:marBottom w:val="0"/>
      <w:divBdr>
        <w:top w:val="none" w:sz="0" w:space="0" w:color="auto"/>
        <w:left w:val="none" w:sz="0" w:space="0" w:color="auto"/>
        <w:bottom w:val="none" w:sz="0" w:space="0" w:color="auto"/>
        <w:right w:val="none" w:sz="0" w:space="0" w:color="auto"/>
      </w:divBdr>
    </w:div>
    <w:div w:id="1132482705">
      <w:bodyDiv w:val="1"/>
      <w:marLeft w:val="0"/>
      <w:marRight w:val="0"/>
      <w:marTop w:val="0"/>
      <w:marBottom w:val="0"/>
      <w:divBdr>
        <w:top w:val="none" w:sz="0" w:space="0" w:color="auto"/>
        <w:left w:val="none" w:sz="0" w:space="0" w:color="auto"/>
        <w:bottom w:val="none" w:sz="0" w:space="0" w:color="auto"/>
        <w:right w:val="none" w:sz="0" w:space="0" w:color="auto"/>
      </w:divBdr>
    </w:div>
    <w:div w:id="1175193310">
      <w:bodyDiv w:val="1"/>
      <w:marLeft w:val="0"/>
      <w:marRight w:val="0"/>
      <w:marTop w:val="0"/>
      <w:marBottom w:val="0"/>
      <w:divBdr>
        <w:top w:val="none" w:sz="0" w:space="0" w:color="auto"/>
        <w:left w:val="none" w:sz="0" w:space="0" w:color="auto"/>
        <w:bottom w:val="none" w:sz="0" w:space="0" w:color="auto"/>
        <w:right w:val="none" w:sz="0" w:space="0" w:color="auto"/>
      </w:divBdr>
    </w:div>
    <w:div w:id="1237277374">
      <w:bodyDiv w:val="1"/>
      <w:marLeft w:val="0"/>
      <w:marRight w:val="0"/>
      <w:marTop w:val="0"/>
      <w:marBottom w:val="0"/>
      <w:divBdr>
        <w:top w:val="none" w:sz="0" w:space="0" w:color="auto"/>
        <w:left w:val="none" w:sz="0" w:space="0" w:color="auto"/>
        <w:bottom w:val="none" w:sz="0" w:space="0" w:color="auto"/>
        <w:right w:val="none" w:sz="0" w:space="0" w:color="auto"/>
      </w:divBdr>
    </w:div>
    <w:div w:id="1242180311">
      <w:bodyDiv w:val="1"/>
      <w:marLeft w:val="0"/>
      <w:marRight w:val="0"/>
      <w:marTop w:val="0"/>
      <w:marBottom w:val="0"/>
      <w:divBdr>
        <w:top w:val="none" w:sz="0" w:space="0" w:color="auto"/>
        <w:left w:val="none" w:sz="0" w:space="0" w:color="auto"/>
        <w:bottom w:val="none" w:sz="0" w:space="0" w:color="auto"/>
        <w:right w:val="none" w:sz="0" w:space="0" w:color="auto"/>
      </w:divBdr>
    </w:div>
    <w:div w:id="1301610564">
      <w:bodyDiv w:val="1"/>
      <w:marLeft w:val="0"/>
      <w:marRight w:val="0"/>
      <w:marTop w:val="0"/>
      <w:marBottom w:val="0"/>
      <w:divBdr>
        <w:top w:val="none" w:sz="0" w:space="0" w:color="auto"/>
        <w:left w:val="none" w:sz="0" w:space="0" w:color="auto"/>
        <w:bottom w:val="none" w:sz="0" w:space="0" w:color="auto"/>
        <w:right w:val="none" w:sz="0" w:space="0" w:color="auto"/>
      </w:divBdr>
    </w:div>
    <w:div w:id="1315767183">
      <w:bodyDiv w:val="1"/>
      <w:marLeft w:val="0"/>
      <w:marRight w:val="0"/>
      <w:marTop w:val="0"/>
      <w:marBottom w:val="0"/>
      <w:divBdr>
        <w:top w:val="none" w:sz="0" w:space="0" w:color="auto"/>
        <w:left w:val="none" w:sz="0" w:space="0" w:color="auto"/>
        <w:bottom w:val="none" w:sz="0" w:space="0" w:color="auto"/>
        <w:right w:val="none" w:sz="0" w:space="0" w:color="auto"/>
      </w:divBdr>
    </w:div>
    <w:div w:id="1329213135">
      <w:bodyDiv w:val="1"/>
      <w:marLeft w:val="0"/>
      <w:marRight w:val="0"/>
      <w:marTop w:val="0"/>
      <w:marBottom w:val="0"/>
      <w:divBdr>
        <w:top w:val="none" w:sz="0" w:space="0" w:color="auto"/>
        <w:left w:val="none" w:sz="0" w:space="0" w:color="auto"/>
        <w:bottom w:val="none" w:sz="0" w:space="0" w:color="auto"/>
        <w:right w:val="none" w:sz="0" w:space="0" w:color="auto"/>
      </w:divBdr>
    </w:div>
    <w:div w:id="1352220396">
      <w:bodyDiv w:val="1"/>
      <w:marLeft w:val="0"/>
      <w:marRight w:val="0"/>
      <w:marTop w:val="0"/>
      <w:marBottom w:val="0"/>
      <w:divBdr>
        <w:top w:val="none" w:sz="0" w:space="0" w:color="auto"/>
        <w:left w:val="none" w:sz="0" w:space="0" w:color="auto"/>
        <w:bottom w:val="none" w:sz="0" w:space="0" w:color="auto"/>
        <w:right w:val="none" w:sz="0" w:space="0" w:color="auto"/>
      </w:divBdr>
    </w:div>
    <w:div w:id="1376470299">
      <w:bodyDiv w:val="1"/>
      <w:marLeft w:val="0"/>
      <w:marRight w:val="0"/>
      <w:marTop w:val="0"/>
      <w:marBottom w:val="0"/>
      <w:divBdr>
        <w:top w:val="none" w:sz="0" w:space="0" w:color="auto"/>
        <w:left w:val="none" w:sz="0" w:space="0" w:color="auto"/>
        <w:bottom w:val="none" w:sz="0" w:space="0" w:color="auto"/>
        <w:right w:val="none" w:sz="0" w:space="0" w:color="auto"/>
      </w:divBdr>
    </w:div>
    <w:div w:id="1408041839">
      <w:bodyDiv w:val="1"/>
      <w:marLeft w:val="0"/>
      <w:marRight w:val="0"/>
      <w:marTop w:val="0"/>
      <w:marBottom w:val="0"/>
      <w:divBdr>
        <w:top w:val="none" w:sz="0" w:space="0" w:color="auto"/>
        <w:left w:val="none" w:sz="0" w:space="0" w:color="auto"/>
        <w:bottom w:val="none" w:sz="0" w:space="0" w:color="auto"/>
        <w:right w:val="none" w:sz="0" w:space="0" w:color="auto"/>
      </w:divBdr>
    </w:div>
    <w:div w:id="1440103141">
      <w:bodyDiv w:val="1"/>
      <w:marLeft w:val="0"/>
      <w:marRight w:val="0"/>
      <w:marTop w:val="0"/>
      <w:marBottom w:val="0"/>
      <w:divBdr>
        <w:top w:val="none" w:sz="0" w:space="0" w:color="auto"/>
        <w:left w:val="none" w:sz="0" w:space="0" w:color="auto"/>
        <w:bottom w:val="none" w:sz="0" w:space="0" w:color="auto"/>
        <w:right w:val="none" w:sz="0" w:space="0" w:color="auto"/>
      </w:divBdr>
    </w:div>
    <w:div w:id="1521776259">
      <w:bodyDiv w:val="1"/>
      <w:marLeft w:val="0"/>
      <w:marRight w:val="0"/>
      <w:marTop w:val="0"/>
      <w:marBottom w:val="0"/>
      <w:divBdr>
        <w:top w:val="none" w:sz="0" w:space="0" w:color="auto"/>
        <w:left w:val="none" w:sz="0" w:space="0" w:color="auto"/>
        <w:bottom w:val="none" w:sz="0" w:space="0" w:color="auto"/>
        <w:right w:val="none" w:sz="0" w:space="0" w:color="auto"/>
      </w:divBdr>
    </w:div>
    <w:div w:id="1596091375">
      <w:bodyDiv w:val="1"/>
      <w:marLeft w:val="0"/>
      <w:marRight w:val="0"/>
      <w:marTop w:val="0"/>
      <w:marBottom w:val="0"/>
      <w:divBdr>
        <w:top w:val="none" w:sz="0" w:space="0" w:color="auto"/>
        <w:left w:val="none" w:sz="0" w:space="0" w:color="auto"/>
        <w:bottom w:val="none" w:sz="0" w:space="0" w:color="auto"/>
        <w:right w:val="none" w:sz="0" w:space="0" w:color="auto"/>
      </w:divBdr>
    </w:div>
    <w:div w:id="1622108687">
      <w:bodyDiv w:val="1"/>
      <w:marLeft w:val="0"/>
      <w:marRight w:val="0"/>
      <w:marTop w:val="0"/>
      <w:marBottom w:val="0"/>
      <w:divBdr>
        <w:top w:val="none" w:sz="0" w:space="0" w:color="auto"/>
        <w:left w:val="none" w:sz="0" w:space="0" w:color="auto"/>
        <w:bottom w:val="none" w:sz="0" w:space="0" w:color="auto"/>
        <w:right w:val="none" w:sz="0" w:space="0" w:color="auto"/>
      </w:divBdr>
    </w:div>
    <w:div w:id="1650131734">
      <w:bodyDiv w:val="1"/>
      <w:marLeft w:val="0"/>
      <w:marRight w:val="0"/>
      <w:marTop w:val="0"/>
      <w:marBottom w:val="0"/>
      <w:divBdr>
        <w:top w:val="none" w:sz="0" w:space="0" w:color="auto"/>
        <w:left w:val="none" w:sz="0" w:space="0" w:color="auto"/>
        <w:bottom w:val="none" w:sz="0" w:space="0" w:color="auto"/>
        <w:right w:val="none" w:sz="0" w:space="0" w:color="auto"/>
      </w:divBdr>
    </w:div>
    <w:div w:id="1653364183">
      <w:bodyDiv w:val="1"/>
      <w:marLeft w:val="0"/>
      <w:marRight w:val="0"/>
      <w:marTop w:val="0"/>
      <w:marBottom w:val="0"/>
      <w:divBdr>
        <w:top w:val="none" w:sz="0" w:space="0" w:color="auto"/>
        <w:left w:val="none" w:sz="0" w:space="0" w:color="auto"/>
        <w:bottom w:val="none" w:sz="0" w:space="0" w:color="auto"/>
        <w:right w:val="none" w:sz="0" w:space="0" w:color="auto"/>
      </w:divBdr>
    </w:div>
    <w:div w:id="1728793999">
      <w:bodyDiv w:val="1"/>
      <w:marLeft w:val="0"/>
      <w:marRight w:val="0"/>
      <w:marTop w:val="0"/>
      <w:marBottom w:val="0"/>
      <w:divBdr>
        <w:top w:val="none" w:sz="0" w:space="0" w:color="auto"/>
        <w:left w:val="none" w:sz="0" w:space="0" w:color="auto"/>
        <w:bottom w:val="none" w:sz="0" w:space="0" w:color="auto"/>
        <w:right w:val="none" w:sz="0" w:space="0" w:color="auto"/>
      </w:divBdr>
    </w:div>
    <w:div w:id="1786340236">
      <w:bodyDiv w:val="1"/>
      <w:marLeft w:val="0"/>
      <w:marRight w:val="0"/>
      <w:marTop w:val="0"/>
      <w:marBottom w:val="0"/>
      <w:divBdr>
        <w:top w:val="none" w:sz="0" w:space="0" w:color="auto"/>
        <w:left w:val="none" w:sz="0" w:space="0" w:color="auto"/>
        <w:bottom w:val="none" w:sz="0" w:space="0" w:color="auto"/>
        <w:right w:val="none" w:sz="0" w:space="0" w:color="auto"/>
      </w:divBdr>
    </w:div>
    <w:div w:id="1794135924">
      <w:bodyDiv w:val="1"/>
      <w:marLeft w:val="0"/>
      <w:marRight w:val="0"/>
      <w:marTop w:val="0"/>
      <w:marBottom w:val="0"/>
      <w:divBdr>
        <w:top w:val="none" w:sz="0" w:space="0" w:color="auto"/>
        <w:left w:val="none" w:sz="0" w:space="0" w:color="auto"/>
        <w:bottom w:val="none" w:sz="0" w:space="0" w:color="auto"/>
        <w:right w:val="none" w:sz="0" w:space="0" w:color="auto"/>
      </w:divBdr>
    </w:div>
    <w:div w:id="1799106473">
      <w:bodyDiv w:val="1"/>
      <w:marLeft w:val="0"/>
      <w:marRight w:val="0"/>
      <w:marTop w:val="0"/>
      <w:marBottom w:val="0"/>
      <w:divBdr>
        <w:top w:val="none" w:sz="0" w:space="0" w:color="auto"/>
        <w:left w:val="none" w:sz="0" w:space="0" w:color="auto"/>
        <w:bottom w:val="none" w:sz="0" w:space="0" w:color="auto"/>
        <w:right w:val="none" w:sz="0" w:space="0" w:color="auto"/>
      </w:divBdr>
    </w:div>
    <w:div w:id="1836607132">
      <w:bodyDiv w:val="1"/>
      <w:marLeft w:val="0"/>
      <w:marRight w:val="0"/>
      <w:marTop w:val="0"/>
      <w:marBottom w:val="0"/>
      <w:divBdr>
        <w:top w:val="none" w:sz="0" w:space="0" w:color="auto"/>
        <w:left w:val="none" w:sz="0" w:space="0" w:color="auto"/>
        <w:bottom w:val="none" w:sz="0" w:space="0" w:color="auto"/>
        <w:right w:val="none" w:sz="0" w:space="0" w:color="auto"/>
      </w:divBdr>
    </w:div>
    <w:div w:id="1853379093">
      <w:bodyDiv w:val="1"/>
      <w:marLeft w:val="0"/>
      <w:marRight w:val="0"/>
      <w:marTop w:val="0"/>
      <w:marBottom w:val="0"/>
      <w:divBdr>
        <w:top w:val="none" w:sz="0" w:space="0" w:color="auto"/>
        <w:left w:val="none" w:sz="0" w:space="0" w:color="auto"/>
        <w:bottom w:val="none" w:sz="0" w:space="0" w:color="auto"/>
        <w:right w:val="none" w:sz="0" w:space="0" w:color="auto"/>
      </w:divBdr>
    </w:div>
    <w:div w:id="1879782054">
      <w:bodyDiv w:val="1"/>
      <w:marLeft w:val="0"/>
      <w:marRight w:val="0"/>
      <w:marTop w:val="0"/>
      <w:marBottom w:val="0"/>
      <w:divBdr>
        <w:top w:val="none" w:sz="0" w:space="0" w:color="auto"/>
        <w:left w:val="none" w:sz="0" w:space="0" w:color="auto"/>
        <w:bottom w:val="none" w:sz="0" w:space="0" w:color="auto"/>
        <w:right w:val="none" w:sz="0" w:space="0" w:color="auto"/>
      </w:divBdr>
    </w:div>
    <w:div w:id="1885557179">
      <w:bodyDiv w:val="1"/>
      <w:marLeft w:val="0"/>
      <w:marRight w:val="0"/>
      <w:marTop w:val="0"/>
      <w:marBottom w:val="0"/>
      <w:divBdr>
        <w:top w:val="none" w:sz="0" w:space="0" w:color="auto"/>
        <w:left w:val="none" w:sz="0" w:space="0" w:color="auto"/>
        <w:bottom w:val="none" w:sz="0" w:space="0" w:color="auto"/>
        <w:right w:val="none" w:sz="0" w:space="0" w:color="auto"/>
      </w:divBdr>
    </w:div>
    <w:div w:id="1916429707">
      <w:bodyDiv w:val="1"/>
      <w:marLeft w:val="0"/>
      <w:marRight w:val="0"/>
      <w:marTop w:val="0"/>
      <w:marBottom w:val="0"/>
      <w:divBdr>
        <w:top w:val="none" w:sz="0" w:space="0" w:color="auto"/>
        <w:left w:val="none" w:sz="0" w:space="0" w:color="auto"/>
        <w:bottom w:val="none" w:sz="0" w:space="0" w:color="auto"/>
        <w:right w:val="none" w:sz="0" w:space="0" w:color="auto"/>
      </w:divBdr>
    </w:div>
    <w:div w:id="1920865361">
      <w:bodyDiv w:val="1"/>
      <w:marLeft w:val="0"/>
      <w:marRight w:val="0"/>
      <w:marTop w:val="0"/>
      <w:marBottom w:val="0"/>
      <w:divBdr>
        <w:top w:val="none" w:sz="0" w:space="0" w:color="auto"/>
        <w:left w:val="none" w:sz="0" w:space="0" w:color="auto"/>
        <w:bottom w:val="none" w:sz="0" w:space="0" w:color="auto"/>
        <w:right w:val="none" w:sz="0" w:space="0" w:color="auto"/>
      </w:divBdr>
    </w:div>
    <w:div w:id="1933198668">
      <w:bodyDiv w:val="1"/>
      <w:marLeft w:val="0"/>
      <w:marRight w:val="0"/>
      <w:marTop w:val="0"/>
      <w:marBottom w:val="0"/>
      <w:divBdr>
        <w:top w:val="none" w:sz="0" w:space="0" w:color="auto"/>
        <w:left w:val="none" w:sz="0" w:space="0" w:color="auto"/>
        <w:bottom w:val="none" w:sz="0" w:space="0" w:color="auto"/>
        <w:right w:val="none" w:sz="0" w:space="0" w:color="auto"/>
      </w:divBdr>
    </w:div>
    <w:div w:id="1972242793">
      <w:bodyDiv w:val="1"/>
      <w:marLeft w:val="0"/>
      <w:marRight w:val="0"/>
      <w:marTop w:val="0"/>
      <w:marBottom w:val="0"/>
      <w:divBdr>
        <w:top w:val="none" w:sz="0" w:space="0" w:color="auto"/>
        <w:left w:val="none" w:sz="0" w:space="0" w:color="auto"/>
        <w:bottom w:val="none" w:sz="0" w:space="0" w:color="auto"/>
        <w:right w:val="none" w:sz="0" w:space="0" w:color="auto"/>
      </w:divBdr>
    </w:div>
    <w:div w:id="1992174554">
      <w:bodyDiv w:val="1"/>
      <w:marLeft w:val="0"/>
      <w:marRight w:val="0"/>
      <w:marTop w:val="0"/>
      <w:marBottom w:val="0"/>
      <w:divBdr>
        <w:top w:val="none" w:sz="0" w:space="0" w:color="auto"/>
        <w:left w:val="none" w:sz="0" w:space="0" w:color="auto"/>
        <w:bottom w:val="none" w:sz="0" w:space="0" w:color="auto"/>
        <w:right w:val="none" w:sz="0" w:space="0" w:color="auto"/>
      </w:divBdr>
    </w:div>
    <w:div w:id="1994983755">
      <w:bodyDiv w:val="1"/>
      <w:marLeft w:val="0"/>
      <w:marRight w:val="0"/>
      <w:marTop w:val="0"/>
      <w:marBottom w:val="0"/>
      <w:divBdr>
        <w:top w:val="none" w:sz="0" w:space="0" w:color="auto"/>
        <w:left w:val="none" w:sz="0" w:space="0" w:color="auto"/>
        <w:bottom w:val="none" w:sz="0" w:space="0" w:color="auto"/>
        <w:right w:val="none" w:sz="0" w:space="0" w:color="auto"/>
      </w:divBdr>
    </w:div>
    <w:div w:id="2032337497">
      <w:bodyDiv w:val="1"/>
      <w:marLeft w:val="0"/>
      <w:marRight w:val="0"/>
      <w:marTop w:val="0"/>
      <w:marBottom w:val="0"/>
      <w:divBdr>
        <w:top w:val="none" w:sz="0" w:space="0" w:color="auto"/>
        <w:left w:val="none" w:sz="0" w:space="0" w:color="auto"/>
        <w:bottom w:val="none" w:sz="0" w:space="0" w:color="auto"/>
        <w:right w:val="none" w:sz="0" w:space="0" w:color="auto"/>
      </w:divBdr>
    </w:div>
    <w:div w:id="2051412719">
      <w:bodyDiv w:val="1"/>
      <w:marLeft w:val="0"/>
      <w:marRight w:val="0"/>
      <w:marTop w:val="0"/>
      <w:marBottom w:val="0"/>
      <w:divBdr>
        <w:top w:val="none" w:sz="0" w:space="0" w:color="auto"/>
        <w:left w:val="none" w:sz="0" w:space="0" w:color="auto"/>
        <w:bottom w:val="none" w:sz="0" w:space="0" w:color="auto"/>
        <w:right w:val="none" w:sz="0" w:space="0" w:color="auto"/>
      </w:divBdr>
    </w:div>
    <w:div w:id="2087261165">
      <w:bodyDiv w:val="1"/>
      <w:marLeft w:val="0"/>
      <w:marRight w:val="0"/>
      <w:marTop w:val="0"/>
      <w:marBottom w:val="0"/>
      <w:divBdr>
        <w:top w:val="none" w:sz="0" w:space="0" w:color="auto"/>
        <w:left w:val="none" w:sz="0" w:space="0" w:color="auto"/>
        <w:bottom w:val="none" w:sz="0" w:space="0" w:color="auto"/>
        <w:right w:val="none" w:sz="0" w:space="0" w:color="auto"/>
      </w:divBdr>
    </w:div>
    <w:div w:id="2097315118">
      <w:bodyDiv w:val="1"/>
      <w:marLeft w:val="0"/>
      <w:marRight w:val="0"/>
      <w:marTop w:val="0"/>
      <w:marBottom w:val="0"/>
      <w:divBdr>
        <w:top w:val="none" w:sz="0" w:space="0" w:color="auto"/>
        <w:left w:val="none" w:sz="0" w:space="0" w:color="auto"/>
        <w:bottom w:val="none" w:sz="0" w:space="0" w:color="auto"/>
        <w:right w:val="none" w:sz="0" w:space="0" w:color="auto"/>
      </w:divBdr>
    </w:div>
    <w:div w:id="212029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nergetika-portal.si/fileadmin/dokumenti/podrocja/energetika/javne_stavbe/ntueps_feb2018.pdf" TargetMode="External"/><Relationship Id="rId18" Type="http://schemas.openxmlformats.org/officeDocument/2006/relationships/hyperlink" Target="https://podatki.gov.si/dataset/evidenca-socialnih-podjeti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s://www.energetika-portal.si/fileadmin/dokumenti/podrocja/energetika/javne_stavbe/smernice_kd_23.2.2017.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energetika-portal.si/fileadmin/dokumenti/podrocja/energetika/javne_stavbe/puseps_feb2018.pdf"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nergetika-portal.si/fileadmin/dokumenti/podrocja/energetika/javne_stavbe/pujpeps_feb2018.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mar.gov.si/fileadmin/user_upload/publikacije/eo/2020/5_2020/EO_5_2020a.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946E8E0-98D6-4920-8204-7E67E1698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32</Pages>
  <Words>11650</Words>
  <Characters>66408</Characters>
  <Application>Microsoft Office Word</Application>
  <DocSecurity>0</DocSecurity>
  <Lines>553</Lines>
  <Paragraphs>155</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77903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Vinko Žagar</dc:creator>
  <cp:keywords/>
  <cp:lastModifiedBy>UKP</cp:lastModifiedBy>
  <cp:revision>7</cp:revision>
  <cp:lastPrinted>2020-09-24T10:37:00Z</cp:lastPrinted>
  <dcterms:created xsi:type="dcterms:W3CDTF">2020-09-24T11:49:00Z</dcterms:created>
  <dcterms:modified xsi:type="dcterms:W3CDTF">2020-09-24T13:02:00Z</dcterms:modified>
</cp:coreProperties>
</file>